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8B6F5" w14:textId="77777777" w:rsidR="00F36C34" w:rsidRPr="00BE2361" w:rsidRDefault="00F36C34" w:rsidP="00CE157A">
      <w:pPr>
        <w:ind w:right="-6"/>
        <w:rPr>
          <w:color w:val="55565A"/>
          <w:lang w:val="en-US"/>
        </w:rPr>
        <w:sectPr w:rsidR="00F36C34" w:rsidRPr="00BE2361" w:rsidSect="00DB044A">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964" w:footer="510" w:gutter="0"/>
          <w:cols w:space="708"/>
          <w:titlePg/>
          <w:docGrid w:linePitch="360"/>
        </w:sectPr>
      </w:pPr>
    </w:p>
    <w:sdt>
      <w:sdtPr>
        <w:rPr>
          <w:rFonts w:ascii="Calibri" w:eastAsia="Calibri" w:hAnsi="Calibri" w:cs="Times New Roman"/>
          <w:b w:val="0"/>
          <w:bCs w:val="0"/>
          <w:color w:val="55565A"/>
          <w:sz w:val="24"/>
          <w:szCs w:val="24"/>
          <w:lang w:val="en-GB" w:eastAsia="en-US"/>
        </w:rPr>
        <w:id w:val="-649124063"/>
        <w:docPartObj>
          <w:docPartGallery w:val="Table of Contents"/>
          <w:docPartUnique/>
        </w:docPartObj>
      </w:sdtPr>
      <w:sdtEndPr>
        <w:rPr>
          <w:noProof/>
          <w:color w:val="auto"/>
        </w:rPr>
      </w:sdtEndPr>
      <w:sdtContent>
        <w:p w14:paraId="34AF92D2" w14:textId="77777777" w:rsidR="00C667D7" w:rsidRPr="00BE2361" w:rsidRDefault="00C667D7" w:rsidP="00BE2361">
          <w:pPr>
            <w:pStyle w:val="TOCHeading"/>
            <w:spacing w:before="0"/>
            <w:rPr>
              <w:rFonts w:asciiTheme="minorHAnsi" w:hAnsiTheme="minorHAnsi"/>
              <w:color w:val="55565A"/>
              <w:sz w:val="2"/>
            </w:rPr>
          </w:pPr>
        </w:p>
        <w:p w14:paraId="4EA05682" w14:textId="77777777" w:rsidR="0043503F" w:rsidRDefault="00BE2361">
          <w:pPr>
            <w:pStyle w:val="TOC1"/>
            <w:tabs>
              <w:tab w:val="right" w:pos="9622"/>
            </w:tabs>
            <w:rPr>
              <w:rFonts w:asciiTheme="minorHAnsi" w:eastAsiaTheme="minorEastAsia" w:hAnsiTheme="minorHAnsi" w:cstheme="minorBidi"/>
              <w:b w:val="0"/>
              <w:noProof/>
              <w:color w:val="auto"/>
              <w:szCs w:val="22"/>
              <w:lang w:val="en-AU" w:eastAsia="en-AU"/>
            </w:rPr>
          </w:pPr>
          <w:r>
            <w:fldChar w:fldCharType="begin"/>
          </w:r>
          <w:r>
            <w:instrText xml:space="preserve"> TOC \h \z \t "Section Heading 1,1,Section Heading 2,2" </w:instrText>
          </w:r>
          <w:r>
            <w:fldChar w:fldCharType="separate"/>
          </w:r>
          <w:hyperlink w:anchor="_Toc506975202" w:history="1">
            <w:r w:rsidR="0043503F" w:rsidRPr="00E65A61">
              <w:rPr>
                <w:rStyle w:val="Hyperlink"/>
                <w:noProof/>
              </w:rPr>
              <w:t>Introduction</w:t>
            </w:r>
            <w:r w:rsidR="0043503F">
              <w:rPr>
                <w:noProof/>
                <w:webHidden/>
              </w:rPr>
              <w:tab/>
            </w:r>
            <w:r w:rsidR="0043503F">
              <w:rPr>
                <w:noProof/>
                <w:webHidden/>
              </w:rPr>
              <w:fldChar w:fldCharType="begin"/>
            </w:r>
            <w:r w:rsidR="0043503F">
              <w:rPr>
                <w:noProof/>
                <w:webHidden/>
              </w:rPr>
              <w:instrText xml:space="preserve"> PAGEREF _Toc506975202 \h </w:instrText>
            </w:r>
            <w:r w:rsidR="0043503F">
              <w:rPr>
                <w:noProof/>
                <w:webHidden/>
              </w:rPr>
            </w:r>
            <w:r w:rsidR="0043503F">
              <w:rPr>
                <w:noProof/>
                <w:webHidden/>
              </w:rPr>
              <w:fldChar w:fldCharType="separate"/>
            </w:r>
            <w:r w:rsidR="0053783E">
              <w:rPr>
                <w:noProof/>
                <w:webHidden/>
              </w:rPr>
              <w:t>2</w:t>
            </w:r>
            <w:r w:rsidR="0043503F">
              <w:rPr>
                <w:noProof/>
                <w:webHidden/>
              </w:rPr>
              <w:fldChar w:fldCharType="end"/>
            </w:r>
          </w:hyperlink>
        </w:p>
        <w:p w14:paraId="7823995B" w14:textId="77777777" w:rsidR="0043503F" w:rsidRDefault="00D145B3" w:rsidP="0043503F">
          <w:pPr>
            <w:pStyle w:val="TOC2"/>
            <w:rPr>
              <w:noProof/>
              <w:color w:val="auto"/>
              <w:lang w:val="en-AU" w:eastAsia="en-AU"/>
            </w:rPr>
          </w:pPr>
          <w:hyperlink w:anchor="_Toc506975203" w:history="1">
            <w:r w:rsidR="0043503F" w:rsidRPr="00E65A61">
              <w:rPr>
                <w:rStyle w:val="Hyperlink"/>
                <w:noProof/>
              </w:rPr>
              <w:t>1.</w:t>
            </w:r>
            <w:r w:rsidR="0043503F">
              <w:rPr>
                <w:noProof/>
                <w:color w:val="auto"/>
                <w:lang w:val="en-AU" w:eastAsia="en-AU"/>
              </w:rPr>
              <w:tab/>
            </w:r>
            <w:r w:rsidR="0043503F" w:rsidRPr="00E65A61">
              <w:rPr>
                <w:rStyle w:val="Hyperlink"/>
                <w:noProof/>
              </w:rPr>
              <w:t>Privacy law in Victoria: What are the existing obligations for Victorian public sector organisations?</w:t>
            </w:r>
            <w:r w:rsidR="0043503F">
              <w:rPr>
                <w:noProof/>
                <w:webHidden/>
              </w:rPr>
              <w:tab/>
            </w:r>
            <w:r w:rsidR="0043503F">
              <w:rPr>
                <w:noProof/>
                <w:webHidden/>
              </w:rPr>
              <w:fldChar w:fldCharType="begin"/>
            </w:r>
            <w:r w:rsidR="0043503F">
              <w:rPr>
                <w:noProof/>
                <w:webHidden/>
              </w:rPr>
              <w:instrText xml:space="preserve"> PAGEREF _Toc506975203 \h </w:instrText>
            </w:r>
            <w:r w:rsidR="0043503F">
              <w:rPr>
                <w:noProof/>
                <w:webHidden/>
              </w:rPr>
            </w:r>
            <w:r w:rsidR="0043503F">
              <w:rPr>
                <w:noProof/>
                <w:webHidden/>
              </w:rPr>
              <w:fldChar w:fldCharType="separate"/>
            </w:r>
            <w:r w:rsidR="0053783E">
              <w:rPr>
                <w:noProof/>
                <w:webHidden/>
              </w:rPr>
              <w:t>2</w:t>
            </w:r>
            <w:r w:rsidR="0043503F">
              <w:rPr>
                <w:noProof/>
                <w:webHidden/>
              </w:rPr>
              <w:fldChar w:fldCharType="end"/>
            </w:r>
          </w:hyperlink>
        </w:p>
        <w:p w14:paraId="08BF39FD" w14:textId="77777777" w:rsidR="0043503F" w:rsidRDefault="00D145B3">
          <w:pPr>
            <w:pStyle w:val="TOC1"/>
            <w:tabs>
              <w:tab w:val="right" w:pos="9622"/>
            </w:tabs>
            <w:rPr>
              <w:rFonts w:asciiTheme="minorHAnsi" w:eastAsiaTheme="minorEastAsia" w:hAnsiTheme="minorHAnsi" w:cstheme="minorBidi"/>
              <w:b w:val="0"/>
              <w:noProof/>
              <w:color w:val="auto"/>
              <w:szCs w:val="22"/>
              <w:lang w:val="en-AU" w:eastAsia="en-AU"/>
            </w:rPr>
          </w:pPr>
          <w:hyperlink w:anchor="_Toc506975204" w:history="1">
            <w:r w:rsidR="0043503F" w:rsidRPr="00E65A61">
              <w:rPr>
                <w:rStyle w:val="Hyperlink"/>
                <w:noProof/>
              </w:rPr>
              <w:t>Changes to the privacy landscape under the scheme</w:t>
            </w:r>
            <w:r w:rsidR="0043503F">
              <w:rPr>
                <w:noProof/>
                <w:webHidden/>
              </w:rPr>
              <w:tab/>
            </w:r>
            <w:r w:rsidR="0043503F">
              <w:rPr>
                <w:noProof/>
                <w:webHidden/>
              </w:rPr>
              <w:fldChar w:fldCharType="begin"/>
            </w:r>
            <w:r w:rsidR="0043503F">
              <w:rPr>
                <w:noProof/>
                <w:webHidden/>
              </w:rPr>
              <w:instrText xml:space="preserve"> PAGEREF _Toc506975204 \h </w:instrText>
            </w:r>
            <w:r w:rsidR="0043503F">
              <w:rPr>
                <w:noProof/>
                <w:webHidden/>
              </w:rPr>
            </w:r>
            <w:r w:rsidR="0043503F">
              <w:rPr>
                <w:noProof/>
                <w:webHidden/>
              </w:rPr>
              <w:fldChar w:fldCharType="separate"/>
            </w:r>
            <w:r w:rsidR="0053783E">
              <w:rPr>
                <w:noProof/>
                <w:webHidden/>
              </w:rPr>
              <w:t>2</w:t>
            </w:r>
            <w:r w:rsidR="0043503F">
              <w:rPr>
                <w:noProof/>
                <w:webHidden/>
              </w:rPr>
              <w:fldChar w:fldCharType="end"/>
            </w:r>
          </w:hyperlink>
        </w:p>
        <w:p w14:paraId="2B205130" w14:textId="77777777" w:rsidR="0043503F" w:rsidRDefault="00D145B3" w:rsidP="0043503F">
          <w:pPr>
            <w:pStyle w:val="TOC2"/>
            <w:rPr>
              <w:noProof/>
              <w:color w:val="auto"/>
              <w:lang w:val="en-AU" w:eastAsia="en-AU"/>
            </w:rPr>
          </w:pPr>
          <w:hyperlink w:anchor="_Toc506975205" w:history="1">
            <w:r w:rsidR="0043503F" w:rsidRPr="00E65A61">
              <w:rPr>
                <w:rStyle w:val="Hyperlink"/>
                <w:noProof/>
              </w:rPr>
              <w:t>2.</w:t>
            </w:r>
            <w:r w:rsidR="0043503F">
              <w:rPr>
                <w:noProof/>
                <w:color w:val="auto"/>
                <w:lang w:val="en-AU" w:eastAsia="en-AU"/>
              </w:rPr>
              <w:tab/>
            </w:r>
            <w:r w:rsidR="0043503F" w:rsidRPr="00E65A61">
              <w:rPr>
                <w:rStyle w:val="Hyperlink"/>
                <w:noProof/>
              </w:rPr>
              <w:t>How does the scheme operate?</w:t>
            </w:r>
            <w:r w:rsidR="0043503F">
              <w:rPr>
                <w:noProof/>
                <w:webHidden/>
              </w:rPr>
              <w:tab/>
            </w:r>
            <w:r w:rsidR="0043503F">
              <w:rPr>
                <w:noProof/>
                <w:webHidden/>
              </w:rPr>
              <w:fldChar w:fldCharType="begin"/>
            </w:r>
            <w:r w:rsidR="0043503F">
              <w:rPr>
                <w:noProof/>
                <w:webHidden/>
              </w:rPr>
              <w:instrText xml:space="preserve"> PAGEREF _Toc506975205 \h </w:instrText>
            </w:r>
            <w:r w:rsidR="0043503F">
              <w:rPr>
                <w:noProof/>
                <w:webHidden/>
              </w:rPr>
            </w:r>
            <w:r w:rsidR="0043503F">
              <w:rPr>
                <w:noProof/>
                <w:webHidden/>
              </w:rPr>
              <w:fldChar w:fldCharType="separate"/>
            </w:r>
            <w:r w:rsidR="0053783E">
              <w:rPr>
                <w:noProof/>
                <w:webHidden/>
              </w:rPr>
              <w:t>2</w:t>
            </w:r>
            <w:r w:rsidR="0043503F">
              <w:rPr>
                <w:noProof/>
                <w:webHidden/>
              </w:rPr>
              <w:fldChar w:fldCharType="end"/>
            </w:r>
          </w:hyperlink>
        </w:p>
        <w:p w14:paraId="11D773B6" w14:textId="77777777" w:rsidR="0043503F" w:rsidRDefault="00D145B3" w:rsidP="0043503F">
          <w:pPr>
            <w:pStyle w:val="TOC2"/>
            <w:rPr>
              <w:noProof/>
              <w:color w:val="auto"/>
              <w:lang w:val="en-AU" w:eastAsia="en-AU"/>
            </w:rPr>
          </w:pPr>
          <w:hyperlink w:anchor="_Toc506975206" w:history="1">
            <w:r w:rsidR="0043503F" w:rsidRPr="00E65A61">
              <w:rPr>
                <w:rStyle w:val="Hyperlink"/>
                <w:rFonts w:cs="PostGrotesk-Book"/>
                <w:noProof/>
              </w:rPr>
              <w:t>3.</w:t>
            </w:r>
            <w:r w:rsidR="0043503F">
              <w:rPr>
                <w:noProof/>
                <w:color w:val="auto"/>
                <w:lang w:val="en-AU" w:eastAsia="en-AU"/>
              </w:rPr>
              <w:tab/>
            </w:r>
            <w:r w:rsidR="0043503F" w:rsidRPr="00E65A61">
              <w:rPr>
                <w:rStyle w:val="Hyperlink"/>
                <w:rFonts w:cs="PostGrotesk-Book"/>
                <w:noProof/>
              </w:rPr>
              <w:t>Do the Information Privacy Principles and Health Privacy Principles still apply?</w:t>
            </w:r>
            <w:r w:rsidR="0043503F">
              <w:rPr>
                <w:noProof/>
                <w:webHidden/>
              </w:rPr>
              <w:tab/>
            </w:r>
            <w:r w:rsidR="0043503F">
              <w:rPr>
                <w:noProof/>
                <w:webHidden/>
              </w:rPr>
              <w:fldChar w:fldCharType="begin"/>
            </w:r>
            <w:r w:rsidR="0043503F">
              <w:rPr>
                <w:noProof/>
                <w:webHidden/>
              </w:rPr>
              <w:instrText xml:space="preserve"> PAGEREF _Toc506975206 \h </w:instrText>
            </w:r>
            <w:r w:rsidR="0043503F">
              <w:rPr>
                <w:noProof/>
                <w:webHidden/>
              </w:rPr>
            </w:r>
            <w:r w:rsidR="0043503F">
              <w:rPr>
                <w:noProof/>
                <w:webHidden/>
              </w:rPr>
              <w:fldChar w:fldCharType="separate"/>
            </w:r>
            <w:r w:rsidR="0053783E">
              <w:rPr>
                <w:noProof/>
                <w:webHidden/>
              </w:rPr>
              <w:t>3</w:t>
            </w:r>
            <w:r w:rsidR="0043503F">
              <w:rPr>
                <w:noProof/>
                <w:webHidden/>
              </w:rPr>
              <w:fldChar w:fldCharType="end"/>
            </w:r>
          </w:hyperlink>
        </w:p>
        <w:p w14:paraId="117EB55B" w14:textId="77777777" w:rsidR="0043503F" w:rsidRDefault="00D145B3" w:rsidP="0043503F">
          <w:pPr>
            <w:pStyle w:val="TOC2"/>
            <w:rPr>
              <w:noProof/>
              <w:color w:val="auto"/>
              <w:lang w:val="en-AU" w:eastAsia="en-AU"/>
            </w:rPr>
          </w:pPr>
          <w:hyperlink w:anchor="_Toc506975207" w:history="1">
            <w:r w:rsidR="0043503F" w:rsidRPr="00E65A61">
              <w:rPr>
                <w:rStyle w:val="Hyperlink"/>
                <w:noProof/>
              </w:rPr>
              <w:t>4.</w:t>
            </w:r>
            <w:r w:rsidR="0043503F">
              <w:rPr>
                <w:noProof/>
                <w:color w:val="auto"/>
                <w:lang w:val="en-AU" w:eastAsia="en-AU"/>
              </w:rPr>
              <w:tab/>
            </w:r>
            <w:r w:rsidR="0043503F" w:rsidRPr="00E65A61">
              <w:rPr>
                <w:rStyle w:val="Hyperlink"/>
                <w:noProof/>
              </w:rPr>
              <w:t>What are the amendments to the PDPA and HRA?</w:t>
            </w:r>
            <w:r w:rsidR="0043503F">
              <w:rPr>
                <w:noProof/>
                <w:webHidden/>
              </w:rPr>
              <w:tab/>
            </w:r>
            <w:r w:rsidR="0043503F">
              <w:rPr>
                <w:noProof/>
                <w:webHidden/>
              </w:rPr>
              <w:fldChar w:fldCharType="begin"/>
            </w:r>
            <w:r w:rsidR="0043503F">
              <w:rPr>
                <w:noProof/>
                <w:webHidden/>
              </w:rPr>
              <w:instrText xml:space="preserve"> PAGEREF _Toc506975207 \h </w:instrText>
            </w:r>
            <w:r w:rsidR="0043503F">
              <w:rPr>
                <w:noProof/>
                <w:webHidden/>
              </w:rPr>
            </w:r>
            <w:r w:rsidR="0043503F">
              <w:rPr>
                <w:noProof/>
                <w:webHidden/>
              </w:rPr>
              <w:fldChar w:fldCharType="separate"/>
            </w:r>
            <w:r w:rsidR="0053783E">
              <w:rPr>
                <w:noProof/>
                <w:webHidden/>
              </w:rPr>
              <w:t>3</w:t>
            </w:r>
            <w:r w:rsidR="0043503F">
              <w:rPr>
                <w:noProof/>
                <w:webHidden/>
              </w:rPr>
              <w:fldChar w:fldCharType="end"/>
            </w:r>
          </w:hyperlink>
        </w:p>
        <w:p w14:paraId="45002C4A" w14:textId="77777777" w:rsidR="0043503F" w:rsidRDefault="00D145B3" w:rsidP="0043503F">
          <w:pPr>
            <w:pStyle w:val="TOC2"/>
            <w:rPr>
              <w:noProof/>
              <w:color w:val="auto"/>
              <w:lang w:val="en-AU" w:eastAsia="en-AU"/>
            </w:rPr>
          </w:pPr>
          <w:hyperlink w:anchor="_Toc506975208" w:history="1">
            <w:r w:rsidR="0043503F" w:rsidRPr="00E65A61">
              <w:rPr>
                <w:rStyle w:val="Hyperlink"/>
                <w:rFonts w:cs="PostGrotesk-Book"/>
                <w:noProof/>
              </w:rPr>
              <w:t>5.</w:t>
            </w:r>
            <w:r w:rsidR="0043503F">
              <w:rPr>
                <w:noProof/>
                <w:color w:val="auto"/>
                <w:lang w:val="en-AU" w:eastAsia="en-AU"/>
              </w:rPr>
              <w:tab/>
            </w:r>
            <w:r w:rsidR="0043503F" w:rsidRPr="00E65A61">
              <w:rPr>
                <w:rStyle w:val="Hyperlink"/>
                <w:rFonts w:cs="PostGrotesk-Book"/>
                <w:noProof/>
              </w:rPr>
              <w:t xml:space="preserve">How </w:t>
            </w:r>
            <w:r w:rsidR="0043503F" w:rsidRPr="00E65A61">
              <w:rPr>
                <w:rStyle w:val="Hyperlink"/>
                <w:noProof/>
              </w:rPr>
              <w:t>does</w:t>
            </w:r>
            <w:r w:rsidR="0043503F" w:rsidRPr="00E65A61">
              <w:rPr>
                <w:rStyle w:val="Hyperlink"/>
                <w:rFonts w:cs="PostGrotesk-Book"/>
                <w:noProof/>
              </w:rPr>
              <w:t xml:space="preserve"> the scheme modify the application of the IPPs and the HPPs?</w:t>
            </w:r>
            <w:r w:rsidR="0043503F">
              <w:rPr>
                <w:noProof/>
                <w:webHidden/>
              </w:rPr>
              <w:tab/>
            </w:r>
            <w:r w:rsidR="0043503F">
              <w:rPr>
                <w:noProof/>
                <w:webHidden/>
              </w:rPr>
              <w:fldChar w:fldCharType="begin"/>
            </w:r>
            <w:r w:rsidR="0043503F">
              <w:rPr>
                <w:noProof/>
                <w:webHidden/>
              </w:rPr>
              <w:instrText xml:space="preserve"> PAGEREF _Toc506975208 \h </w:instrText>
            </w:r>
            <w:r w:rsidR="0043503F">
              <w:rPr>
                <w:noProof/>
                <w:webHidden/>
              </w:rPr>
            </w:r>
            <w:r w:rsidR="0043503F">
              <w:rPr>
                <w:noProof/>
                <w:webHidden/>
              </w:rPr>
              <w:fldChar w:fldCharType="separate"/>
            </w:r>
            <w:r w:rsidR="0053783E">
              <w:rPr>
                <w:noProof/>
                <w:webHidden/>
              </w:rPr>
              <w:t>4</w:t>
            </w:r>
            <w:r w:rsidR="0043503F">
              <w:rPr>
                <w:noProof/>
                <w:webHidden/>
              </w:rPr>
              <w:fldChar w:fldCharType="end"/>
            </w:r>
          </w:hyperlink>
        </w:p>
        <w:p w14:paraId="32AFF09F" w14:textId="77777777" w:rsidR="0043503F" w:rsidRDefault="00D145B3" w:rsidP="0043503F">
          <w:pPr>
            <w:pStyle w:val="TOC2"/>
            <w:rPr>
              <w:noProof/>
              <w:color w:val="auto"/>
              <w:lang w:val="en-AU" w:eastAsia="en-AU"/>
            </w:rPr>
          </w:pPr>
          <w:hyperlink w:anchor="_Toc506975209" w:history="1">
            <w:r w:rsidR="0043503F" w:rsidRPr="00E65A61">
              <w:rPr>
                <w:rStyle w:val="Hyperlink"/>
                <w:rFonts w:cs="PostGrotesk-Book"/>
                <w:noProof/>
              </w:rPr>
              <w:t>6.</w:t>
            </w:r>
            <w:r w:rsidR="0043503F">
              <w:rPr>
                <w:noProof/>
                <w:color w:val="auto"/>
                <w:lang w:val="en-AU" w:eastAsia="en-AU"/>
              </w:rPr>
              <w:tab/>
            </w:r>
            <w:r w:rsidR="0043503F" w:rsidRPr="00E65A61">
              <w:rPr>
                <w:rStyle w:val="Hyperlink"/>
                <w:noProof/>
              </w:rPr>
              <w:t>How</w:t>
            </w:r>
            <w:r w:rsidR="0043503F" w:rsidRPr="00E65A61">
              <w:rPr>
                <w:rStyle w:val="Hyperlink"/>
                <w:rFonts w:cs="PostGrotesk-Book"/>
                <w:noProof/>
              </w:rPr>
              <w:t xml:space="preserve"> does the scheme amend the </w:t>
            </w:r>
            <w:r w:rsidR="0043503F" w:rsidRPr="00E65A61">
              <w:rPr>
                <w:rStyle w:val="Hyperlink"/>
                <w:rFonts w:cs="PostGrotesk-Book"/>
                <w:i/>
                <w:noProof/>
              </w:rPr>
              <w:t xml:space="preserve">Freedom of Information Act 1982 </w:t>
            </w:r>
            <w:r w:rsidR="0043503F" w:rsidRPr="00E65A61">
              <w:rPr>
                <w:rStyle w:val="Hyperlink"/>
                <w:rFonts w:cs="PostGrotesk-Book"/>
                <w:noProof/>
              </w:rPr>
              <w:t>(Vic)?</w:t>
            </w:r>
            <w:r w:rsidR="0043503F">
              <w:rPr>
                <w:noProof/>
                <w:webHidden/>
              </w:rPr>
              <w:tab/>
            </w:r>
            <w:r w:rsidR="0043503F">
              <w:rPr>
                <w:noProof/>
                <w:webHidden/>
              </w:rPr>
              <w:fldChar w:fldCharType="begin"/>
            </w:r>
            <w:r w:rsidR="0043503F">
              <w:rPr>
                <w:noProof/>
                <w:webHidden/>
              </w:rPr>
              <w:instrText xml:space="preserve"> PAGEREF _Toc506975209 \h </w:instrText>
            </w:r>
            <w:r w:rsidR="0043503F">
              <w:rPr>
                <w:noProof/>
                <w:webHidden/>
              </w:rPr>
            </w:r>
            <w:r w:rsidR="0043503F">
              <w:rPr>
                <w:noProof/>
                <w:webHidden/>
              </w:rPr>
              <w:fldChar w:fldCharType="separate"/>
            </w:r>
            <w:r w:rsidR="0053783E">
              <w:rPr>
                <w:noProof/>
                <w:webHidden/>
              </w:rPr>
              <w:t>4</w:t>
            </w:r>
            <w:r w:rsidR="0043503F">
              <w:rPr>
                <w:noProof/>
                <w:webHidden/>
              </w:rPr>
              <w:fldChar w:fldCharType="end"/>
            </w:r>
          </w:hyperlink>
        </w:p>
        <w:p w14:paraId="22AEC028" w14:textId="77777777" w:rsidR="0043503F" w:rsidRDefault="00D145B3" w:rsidP="0043503F">
          <w:pPr>
            <w:pStyle w:val="TOC2"/>
            <w:rPr>
              <w:noProof/>
              <w:color w:val="auto"/>
              <w:lang w:val="en-AU" w:eastAsia="en-AU"/>
            </w:rPr>
          </w:pPr>
          <w:hyperlink w:anchor="_Toc506975210" w:history="1">
            <w:r w:rsidR="0043503F" w:rsidRPr="00E65A61">
              <w:rPr>
                <w:rStyle w:val="Hyperlink"/>
                <w:rFonts w:cs="PostGrotesk-Book"/>
                <w:noProof/>
              </w:rPr>
              <w:t>7.</w:t>
            </w:r>
            <w:r w:rsidR="0043503F">
              <w:rPr>
                <w:noProof/>
                <w:color w:val="auto"/>
                <w:lang w:val="en-AU" w:eastAsia="en-AU"/>
              </w:rPr>
              <w:tab/>
            </w:r>
            <w:r w:rsidR="0043503F" w:rsidRPr="00E65A61">
              <w:rPr>
                <w:rStyle w:val="Hyperlink"/>
                <w:rFonts w:cs="PostGrotesk-Book"/>
                <w:noProof/>
              </w:rPr>
              <w:t xml:space="preserve">What about ISEs that are bound by the Commonwealth </w:t>
            </w:r>
            <w:r w:rsidR="0043503F" w:rsidRPr="00E65A61">
              <w:rPr>
                <w:rStyle w:val="Hyperlink"/>
                <w:rFonts w:cs="PostGrotesk-Book"/>
                <w:i/>
                <w:noProof/>
              </w:rPr>
              <w:t>Privacy Act 1988</w:t>
            </w:r>
            <w:r w:rsidR="0043503F" w:rsidRPr="00E65A61">
              <w:rPr>
                <w:rStyle w:val="Hyperlink"/>
                <w:rFonts w:cs="PostGrotesk-Book"/>
                <w:noProof/>
              </w:rPr>
              <w:t>?</w:t>
            </w:r>
            <w:r w:rsidR="0043503F">
              <w:rPr>
                <w:noProof/>
                <w:webHidden/>
              </w:rPr>
              <w:tab/>
            </w:r>
            <w:r w:rsidR="0043503F">
              <w:rPr>
                <w:noProof/>
                <w:webHidden/>
              </w:rPr>
              <w:fldChar w:fldCharType="begin"/>
            </w:r>
            <w:r w:rsidR="0043503F">
              <w:rPr>
                <w:noProof/>
                <w:webHidden/>
              </w:rPr>
              <w:instrText xml:space="preserve"> PAGEREF _Toc506975210 \h </w:instrText>
            </w:r>
            <w:r w:rsidR="0043503F">
              <w:rPr>
                <w:noProof/>
                <w:webHidden/>
              </w:rPr>
            </w:r>
            <w:r w:rsidR="0043503F">
              <w:rPr>
                <w:noProof/>
                <w:webHidden/>
              </w:rPr>
              <w:fldChar w:fldCharType="separate"/>
            </w:r>
            <w:r w:rsidR="0053783E">
              <w:rPr>
                <w:noProof/>
                <w:webHidden/>
              </w:rPr>
              <w:t>5</w:t>
            </w:r>
            <w:r w:rsidR="0043503F">
              <w:rPr>
                <w:noProof/>
                <w:webHidden/>
              </w:rPr>
              <w:fldChar w:fldCharType="end"/>
            </w:r>
          </w:hyperlink>
        </w:p>
        <w:p w14:paraId="250E8172" w14:textId="77777777" w:rsidR="0043503F" w:rsidRDefault="00D145B3" w:rsidP="0043503F">
          <w:pPr>
            <w:pStyle w:val="TOC2"/>
            <w:rPr>
              <w:noProof/>
              <w:color w:val="auto"/>
              <w:lang w:val="en-AU" w:eastAsia="en-AU"/>
            </w:rPr>
          </w:pPr>
          <w:hyperlink w:anchor="_Toc506975211" w:history="1">
            <w:r w:rsidR="0043503F" w:rsidRPr="00E65A61">
              <w:rPr>
                <w:rStyle w:val="Hyperlink"/>
                <w:rFonts w:cs="PostGrotesk-Book"/>
                <w:noProof/>
              </w:rPr>
              <w:t>8.</w:t>
            </w:r>
            <w:r w:rsidR="0043503F">
              <w:rPr>
                <w:noProof/>
                <w:color w:val="auto"/>
                <w:lang w:val="en-AU" w:eastAsia="en-AU"/>
              </w:rPr>
              <w:tab/>
            </w:r>
            <w:r w:rsidR="0043503F" w:rsidRPr="00E65A61">
              <w:rPr>
                <w:rStyle w:val="Hyperlink"/>
                <w:rFonts w:cs="PostGrotesk-Book"/>
                <w:noProof/>
              </w:rPr>
              <w:t xml:space="preserve">Can organisations not bound by the PDPA or </w:t>
            </w:r>
            <w:r w:rsidR="0043503F" w:rsidRPr="00E65A61">
              <w:rPr>
                <w:rStyle w:val="Hyperlink"/>
                <w:rFonts w:cs="PostGrotesk-Book"/>
                <w:i/>
                <w:noProof/>
              </w:rPr>
              <w:t>Privacy Act 1988</w:t>
            </w:r>
            <w:r w:rsidR="0043503F" w:rsidRPr="00E65A61">
              <w:rPr>
                <w:rStyle w:val="Hyperlink"/>
                <w:rFonts w:cs="PostGrotesk-Book"/>
                <w:noProof/>
              </w:rPr>
              <w:t xml:space="preserve"> have privacy obligations?</w:t>
            </w:r>
            <w:r w:rsidR="0043503F">
              <w:rPr>
                <w:noProof/>
                <w:webHidden/>
              </w:rPr>
              <w:tab/>
            </w:r>
            <w:r w:rsidR="0043503F">
              <w:rPr>
                <w:noProof/>
                <w:webHidden/>
              </w:rPr>
              <w:fldChar w:fldCharType="begin"/>
            </w:r>
            <w:r w:rsidR="0043503F">
              <w:rPr>
                <w:noProof/>
                <w:webHidden/>
              </w:rPr>
              <w:instrText xml:space="preserve"> PAGEREF _Toc506975211 \h </w:instrText>
            </w:r>
            <w:r w:rsidR="0043503F">
              <w:rPr>
                <w:noProof/>
                <w:webHidden/>
              </w:rPr>
            </w:r>
            <w:r w:rsidR="0043503F">
              <w:rPr>
                <w:noProof/>
                <w:webHidden/>
              </w:rPr>
              <w:fldChar w:fldCharType="separate"/>
            </w:r>
            <w:r w:rsidR="0053783E">
              <w:rPr>
                <w:noProof/>
                <w:webHidden/>
              </w:rPr>
              <w:t>5</w:t>
            </w:r>
            <w:r w:rsidR="0043503F">
              <w:rPr>
                <w:noProof/>
                <w:webHidden/>
              </w:rPr>
              <w:fldChar w:fldCharType="end"/>
            </w:r>
          </w:hyperlink>
        </w:p>
        <w:p w14:paraId="3888ADC2" w14:textId="77777777" w:rsidR="0043503F" w:rsidRDefault="00D145B3">
          <w:pPr>
            <w:pStyle w:val="TOC1"/>
            <w:tabs>
              <w:tab w:val="right" w:pos="9622"/>
            </w:tabs>
            <w:rPr>
              <w:rFonts w:asciiTheme="minorHAnsi" w:eastAsiaTheme="minorEastAsia" w:hAnsiTheme="minorHAnsi" w:cstheme="minorBidi"/>
              <w:b w:val="0"/>
              <w:noProof/>
              <w:color w:val="auto"/>
              <w:szCs w:val="22"/>
              <w:lang w:val="en-AU" w:eastAsia="en-AU"/>
            </w:rPr>
          </w:pPr>
          <w:hyperlink w:anchor="_Toc506975212" w:history="1">
            <w:r w:rsidR="0043503F" w:rsidRPr="00E65A61">
              <w:rPr>
                <w:rStyle w:val="Hyperlink"/>
                <w:noProof/>
              </w:rPr>
              <w:t>Information sharing in practice</w:t>
            </w:r>
            <w:r w:rsidR="0043503F">
              <w:rPr>
                <w:noProof/>
                <w:webHidden/>
              </w:rPr>
              <w:tab/>
            </w:r>
            <w:r w:rsidR="0043503F">
              <w:rPr>
                <w:noProof/>
                <w:webHidden/>
              </w:rPr>
              <w:fldChar w:fldCharType="begin"/>
            </w:r>
            <w:r w:rsidR="0043503F">
              <w:rPr>
                <w:noProof/>
                <w:webHidden/>
              </w:rPr>
              <w:instrText xml:space="preserve"> PAGEREF _Toc506975212 \h </w:instrText>
            </w:r>
            <w:r w:rsidR="0043503F">
              <w:rPr>
                <w:noProof/>
                <w:webHidden/>
              </w:rPr>
            </w:r>
            <w:r w:rsidR="0043503F">
              <w:rPr>
                <w:noProof/>
                <w:webHidden/>
              </w:rPr>
              <w:fldChar w:fldCharType="separate"/>
            </w:r>
            <w:r w:rsidR="0053783E">
              <w:rPr>
                <w:noProof/>
                <w:webHidden/>
              </w:rPr>
              <w:t>6</w:t>
            </w:r>
            <w:r w:rsidR="0043503F">
              <w:rPr>
                <w:noProof/>
                <w:webHidden/>
              </w:rPr>
              <w:fldChar w:fldCharType="end"/>
            </w:r>
          </w:hyperlink>
        </w:p>
        <w:p w14:paraId="6E7EBFEB" w14:textId="77777777" w:rsidR="0043503F" w:rsidRDefault="00D145B3" w:rsidP="0043503F">
          <w:pPr>
            <w:pStyle w:val="TOC2"/>
            <w:rPr>
              <w:noProof/>
              <w:color w:val="auto"/>
              <w:lang w:val="en-AU" w:eastAsia="en-AU"/>
            </w:rPr>
          </w:pPr>
          <w:hyperlink w:anchor="_Toc506975213" w:history="1">
            <w:r w:rsidR="0043503F" w:rsidRPr="00E65A61">
              <w:rPr>
                <w:rStyle w:val="Hyperlink"/>
                <w:rFonts w:cs="PostGrotesk-Book"/>
                <w:noProof/>
              </w:rPr>
              <w:t>9.</w:t>
            </w:r>
            <w:r w:rsidR="0043503F">
              <w:rPr>
                <w:noProof/>
                <w:color w:val="auto"/>
                <w:lang w:val="en-AU" w:eastAsia="en-AU"/>
              </w:rPr>
              <w:tab/>
            </w:r>
            <w:r w:rsidR="0043503F" w:rsidRPr="00E65A61">
              <w:rPr>
                <w:rStyle w:val="Hyperlink"/>
                <w:rFonts w:cs="PostGrotesk-Book"/>
                <w:noProof/>
              </w:rPr>
              <w:t>Can information already be shared under Victorian privacy law</w:t>
            </w:r>
            <w:r w:rsidR="0043503F" w:rsidRPr="00E65A61">
              <w:rPr>
                <w:rStyle w:val="Hyperlink"/>
                <w:rFonts w:cs="PostGrotesk-Book"/>
                <w:i/>
                <w:noProof/>
              </w:rPr>
              <w:t>?</w:t>
            </w:r>
            <w:r w:rsidR="0043503F">
              <w:rPr>
                <w:noProof/>
                <w:webHidden/>
              </w:rPr>
              <w:tab/>
            </w:r>
            <w:r w:rsidR="0043503F">
              <w:rPr>
                <w:noProof/>
                <w:webHidden/>
              </w:rPr>
              <w:fldChar w:fldCharType="begin"/>
            </w:r>
            <w:r w:rsidR="0043503F">
              <w:rPr>
                <w:noProof/>
                <w:webHidden/>
              </w:rPr>
              <w:instrText xml:space="preserve"> PAGEREF _Toc506975213 \h </w:instrText>
            </w:r>
            <w:r w:rsidR="0043503F">
              <w:rPr>
                <w:noProof/>
                <w:webHidden/>
              </w:rPr>
            </w:r>
            <w:r w:rsidR="0043503F">
              <w:rPr>
                <w:noProof/>
                <w:webHidden/>
              </w:rPr>
              <w:fldChar w:fldCharType="separate"/>
            </w:r>
            <w:r w:rsidR="0053783E">
              <w:rPr>
                <w:noProof/>
                <w:webHidden/>
              </w:rPr>
              <w:t>6</w:t>
            </w:r>
            <w:r w:rsidR="0043503F">
              <w:rPr>
                <w:noProof/>
                <w:webHidden/>
              </w:rPr>
              <w:fldChar w:fldCharType="end"/>
            </w:r>
          </w:hyperlink>
        </w:p>
        <w:p w14:paraId="0F958F6A" w14:textId="77777777" w:rsidR="0043503F" w:rsidRDefault="00D145B3" w:rsidP="0043503F">
          <w:pPr>
            <w:pStyle w:val="TOC2"/>
            <w:rPr>
              <w:noProof/>
              <w:color w:val="auto"/>
              <w:lang w:eastAsia="en-AU"/>
            </w:rPr>
          </w:pPr>
          <w:hyperlink w:anchor="_Toc506975214" w:history="1">
            <w:r w:rsidR="0043503F" w:rsidRPr="00E65A61">
              <w:rPr>
                <w:rStyle w:val="Hyperlink"/>
                <w:rFonts w:cs="PostGrotesk-Book"/>
                <w:noProof/>
                <w:lang w:val="en-AU"/>
              </w:rPr>
              <w:t>10.</w:t>
            </w:r>
            <w:r w:rsidR="0043503F">
              <w:rPr>
                <w:noProof/>
                <w:color w:val="auto"/>
                <w:lang w:eastAsia="en-AU"/>
              </w:rPr>
              <w:tab/>
            </w:r>
            <w:r w:rsidR="0043503F" w:rsidRPr="00E65A61">
              <w:rPr>
                <w:rStyle w:val="Hyperlink"/>
                <w:rFonts w:cs="PostGrotesk-Book"/>
                <w:noProof/>
                <w:lang w:val="en-AU"/>
              </w:rPr>
              <w:t>What if an entity is not a prescribed ISE but wishes to share information about family violence risk?</w:t>
            </w:r>
            <w:r w:rsidR="0043503F">
              <w:rPr>
                <w:noProof/>
                <w:webHidden/>
              </w:rPr>
              <w:tab/>
            </w:r>
            <w:r w:rsidR="0043503F">
              <w:rPr>
                <w:noProof/>
                <w:webHidden/>
              </w:rPr>
              <w:fldChar w:fldCharType="begin"/>
            </w:r>
            <w:r w:rsidR="0043503F">
              <w:rPr>
                <w:noProof/>
                <w:webHidden/>
              </w:rPr>
              <w:instrText xml:space="preserve"> PAGEREF _Toc506975214 \h </w:instrText>
            </w:r>
            <w:r w:rsidR="0043503F">
              <w:rPr>
                <w:noProof/>
                <w:webHidden/>
              </w:rPr>
            </w:r>
            <w:r w:rsidR="0043503F">
              <w:rPr>
                <w:noProof/>
                <w:webHidden/>
              </w:rPr>
              <w:fldChar w:fldCharType="separate"/>
            </w:r>
            <w:r w:rsidR="0053783E">
              <w:rPr>
                <w:noProof/>
                <w:webHidden/>
              </w:rPr>
              <w:t>6</w:t>
            </w:r>
            <w:r w:rsidR="0043503F">
              <w:rPr>
                <w:noProof/>
                <w:webHidden/>
              </w:rPr>
              <w:fldChar w:fldCharType="end"/>
            </w:r>
          </w:hyperlink>
        </w:p>
        <w:p w14:paraId="77AB7E7E" w14:textId="77777777" w:rsidR="0043503F" w:rsidRDefault="00D145B3" w:rsidP="0043503F">
          <w:pPr>
            <w:pStyle w:val="TOC2"/>
            <w:rPr>
              <w:noProof/>
              <w:color w:val="auto"/>
              <w:lang w:val="en-AU" w:eastAsia="en-AU"/>
            </w:rPr>
          </w:pPr>
          <w:hyperlink w:anchor="_Toc506975215" w:history="1">
            <w:r w:rsidR="0043503F" w:rsidRPr="00E65A61">
              <w:rPr>
                <w:rStyle w:val="Hyperlink"/>
                <w:rFonts w:cs="PostGrotesk-Book"/>
                <w:noProof/>
              </w:rPr>
              <w:t>11.</w:t>
            </w:r>
            <w:r w:rsidR="0043503F">
              <w:rPr>
                <w:noProof/>
                <w:color w:val="auto"/>
                <w:lang w:val="en-AU" w:eastAsia="en-AU"/>
              </w:rPr>
              <w:tab/>
            </w:r>
            <w:r w:rsidR="0043503F" w:rsidRPr="00E65A61">
              <w:rPr>
                <w:rStyle w:val="Hyperlink"/>
                <w:rFonts w:cs="PostGrotesk-Book"/>
                <w:noProof/>
              </w:rPr>
              <w:t>Who can share information under the scheme?</w:t>
            </w:r>
            <w:r w:rsidR="0043503F">
              <w:rPr>
                <w:noProof/>
                <w:webHidden/>
              </w:rPr>
              <w:tab/>
            </w:r>
            <w:r w:rsidR="0043503F">
              <w:rPr>
                <w:noProof/>
                <w:webHidden/>
              </w:rPr>
              <w:fldChar w:fldCharType="begin"/>
            </w:r>
            <w:r w:rsidR="0043503F">
              <w:rPr>
                <w:noProof/>
                <w:webHidden/>
              </w:rPr>
              <w:instrText xml:space="preserve"> PAGEREF _Toc506975215 \h </w:instrText>
            </w:r>
            <w:r w:rsidR="0043503F">
              <w:rPr>
                <w:noProof/>
                <w:webHidden/>
              </w:rPr>
            </w:r>
            <w:r w:rsidR="0043503F">
              <w:rPr>
                <w:noProof/>
                <w:webHidden/>
              </w:rPr>
              <w:fldChar w:fldCharType="separate"/>
            </w:r>
            <w:r w:rsidR="0053783E">
              <w:rPr>
                <w:noProof/>
                <w:webHidden/>
              </w:rPr>
              <w:t>6</w:t>
            </w:r>
            <w:r w:rsidR="0043503F">
              <w:rPr>
                <w:noProof/>
                <w:webHidden/>
              </w:rPr>
              <w:fldChar w:fldCharType="end"/>
            </w:r>
          </w:hyperlink>
        </w:p>
        <w:p w14:paraId="09208F54" w14:textId="77777777" w:rsidR="0043503F" w:rsidRDefault="00D145B3" w:rsidP="0043503F">
          <w:pPr>
            <w:pStyle w:val="TOC2"/>
            <w:rPr>
              <w:noProof/>
              <w:color w:val="auto"/>
              <w:lang w:val="en-AU" w:eastAsia="en-AU"/>
            </w:rPr>
          </w:pPr>
          <w:hyperlink w:anchor="_Toc506975216" w:history="1">
            <w:r w:rsidR="0043503F" w:rsidRPr="00E65A61">
              <w:rPr>
                <w:rStyle w:val="Hyperlink"/>
                <w:rFonts w:cs="PostGrotesk-Book"/>
                <w:noProof/>
              </w:rPr>
              <w:t>12.</w:t>
            </w:r>
            <w:r w:rsidR="0043503F">
              <w:rPr>
                <w:noProof/>
                <w:color w:val="auto"/>
                <w:lang w:val="en-AU" w:eastAsia="en-AU"/>
              </w:rPr>
              <w:tab/>
            </w:r>
            <w:r w:rsidR="0043503F" w:rsidRPr="00E65A61">
              <w:rPr>
                <w:rStyle w:val="Hyperlink"/>
                <w:rFonts w:cs="PostGrotesk-Book"/>
                <w:noProof/>
              </w:rPr>
              <w:t xml:space="preserve">What types of </w:t>
            </w:r>
            <w:r w:rsidR="0043503F" w:rsidRPr="00E65A61">
              <w:rPr>
                <w:rStyle w:val="Hyperlink"/>
                <w:rFonts w:cs="PostGrotesk-Book"/>
                <w:noProof/>
                <w:lang w:val="en-AU"/>
              </w:rPr>
              <w:t>information</w:t>
            </w:r>
            <w:r w:rsidR="0043503F" w:rsidRPr="00E65A61">
              <w:rPr>
                <w:rStyle w:val="Hyperlink"/>
                <w:rFonts w:cs="PostGrotesk-Book"/>
                <w:noProof/>
              </w:rPr>
              <w:t xml:space="preserve"> can be shared?</w:t>
            </w:r>
            <w:r w:rsidR="0043503F">
              <w:rPr>
                <w:noProof/>
                <w:webHidden/>
              </w:rPr>
              <w:tab/>
            </w:r>
            <w:r w:rsidR="0043503F">
              <w:rPr>
                <w:noProof/>
                <w:webHidden/>
              </w:rPr>
              <w:fldChar w:fldCharType="begin"/>
            </w:r>
            <w:r w:rsidR="0043503F">
              <w:rPr>
                <w:noProof/>
                <w:webHidden/>
              </w:rPr>
              <w:instrText xml:space="preserve"> PAGEREF _Toc506975216 \h </w:instrText>
            </w:r>
            <w:r w:rsidR="0043503F">
              <w:rPr>
                <w:noProof/>
                <w:webHidden/>
              </w:rPr>
            </w:r>
            <w:r w:rsidR="0043503F">
              <w:rPr>
                <w:noProof/>
                <w:webHidden/>
              </w:rPr>
              <w:fldChar w:fldCharType="separate"/>
            </w:r>
            <w:r w:rsidR="0053783E">
              <w:rPr>
                <w:noProof/>
                <w:webHidden/>
              </w:rPr>
              <w:t>7</w:t>
            </w:r>
            <w:r w:rsidR="0043503F">
              <w:rPr>
                <w:noProof/>
                <w:webHidden/>
              </w:rPr>
              <w:fldChar w:fldCharType="end"/>
            </w:r>
          </w:hyperlink>
        </w:p>
        <w:p w14:paraId="41273E31" w14:textId="77777777" w:rsidR="0043503F" w:rsidRDefault="00D145B3" w:rsidP="0043503F">
          <w:pPr>
            <w:pStyle w:val="TOC2"/>
            <w:rPr>
              <w:noProof/>
              <w:color w:val="auto"/>
              <w:lang w:val="en-AU" w:eastAsia="en-AU"/>
            </w:rPr>
          </w:pPr>
          <w:hyperlink w:anchor="_Toc506975217" w:history="1">
            <w:r w:rsidR="0043503F" w:rsidRPr="00E65A61">
              <w:rPr>
                <w:rStyle w:val="Hyperlink"/>
                <w:rFonts w:cs="PostGrotesk-Book"/>
                <w:noProof/>
              </w:rPr>
              <w:t>13.</w:t>
            </w:r>
            <w:r w:rsidR="0043503F">
              <w:rPr>
                <w:noProof/>
                <w:color w:val="auto"/>
                <w:lang w:val="en-AU" w:eastAsia="en-AU"/>
              </w:rPr>
              <w:tab/>
            </w:r>
            <w:r w:rsidR="0043503F" w:rsidRPr="00E65A61">
              <w:rPr>
                <w:rStyle w:val="Hyperlink"/>
                <w:rFonts w:cs="PostGrotesk-Book"/>
                <w:noProof/>
              </w:rPr>
              <w:t xml:space="preserve">How can practitioners determine quickly when to </w:t>
            </w:r>
            <w:r w:rsidR="0043503F" w:rsidRPr="00E65A61">
              <w:rPr>
                <w:rStyle w:val="Hyperlink"/>
                <w:rFonts w:cs="PostGrotesk-Book"/>
                <w:noProof/>
                <w:lang w:val="en-AU"/>
              </w:rPr>
              <w:t>share</w:t>
            </w:r>
            <w:r w:rsidR="0043503F" w:rsidRPr="00E65A61">
              <w:rPr>
                <w:rStyle w:val="Hyperlink"/>
                <w:rFonts w:cs="PostGrotesk-Book"/>
                <w:noProof/>
              </w:rPr>
              <w:t xml:space="preserve"> information?</w:t>
            </w:r>
            <w:r w:rsidR="0043503F">
              <w:rPr>
                <w:noProof/>
                <w:webHidden/>
              </w:rPr>
              <w:tab/>
            </w:r>
            <w:r w:rsidR="0043503F">
              <w:rPr>
                <w:noProof/>
                <w:webHidden/>
              </w:rPr>
              <w:fldChar w:fldCharType="begin"/>
            </w:r>
            <w:r w:rsidR="0043503F">
              <w:rPr>
                <w:noProof/>
                <w:webHidden/>
              </w:rPr>
              <w:instrText xml:space="preserve"> PAGEREF _Toc506975217 \h </w:instrText>
            </w:r>
            <w:r w:rsidR="0043503F">
              <w:rPr>
                <w:noProof/>
                <w:webHidden/>
              </w:rPr>
            </w:r>
            <w:r w:rsidR="0043503F">
              <w:rPr>
                <w:noProof/>
                <w:webHidden/>
              </w:rPr>
              <w:fldChar w:fldCharType="separate"/>
            </w:r>
            <w:r w:rsidR="0053783E">
              <w:rPr>
                <w:noProof/>
                <w:webHidden/>
              </w:rPr>
              <w:t>7</w:t>
            </w:r>
            <w:r w:rsidR="0043503F">
              <w:rPr>
                <w:noProof/>
                <w:webHidden/>
              </w:rPr>
              <w:fldChar w:fldCharType="end"/>
            </w:r>
          </w:hyperlink>
        </w:p>
        <w:p w14:paraId="1989ABE1" w14:textId="77777777" w:rsidR="0043503F" w:rsidRDefault="00D145B3" w:rsidP="0043503F">
          <w:pPr>
            <w:pStyle w:val="TOC2"/>
            <w:rPr>
              <w:noProof/>
              <w:color w:val="auto"/>
              <w:lang w:val="en-AU" w:eastAsia="en-AU"/>
            </w:rPr>
          </w:pPr>
          <w:hyperlink w:anchor="_Toc506975218" w:history="1">
            <w:r w:rsidR="0043503F" w:rsidRPr="00E65A61">
              <w:rPr>
                <w:rStyle w:val="Hyperlink"/>
                <w:rFonts w:cs="PostGrotesk-Book"/>
                <w:noProof/>
                <w:lang w:val="en-AU"/>
              </w:rPr>
              <w:t>14.</w:t>
            </w:r>
            <w:r w:rsidR="0043503F">
              <w:rPr>
                <w:noProof/>
                <w:color w:val="auto"/>
                <w:lang w:val="en-AU" w:eastAsia="en-AU"/>
              </w:rPr>
              <w:tab/>
            </w:r>
            <w:r w:rsidR="0043503F" w:rsidRPr="00E65A61">
              <w:rPr>
                <w:rStyle w:val="Hyperlink"/>
                <w:rFonts w:cs="PostGrotesk-Book"/>
                <w:noProof/>
              </w:rPr>
              <w:t>How can practitioners share information under the scheme?</w:t>
            </w:r>
            <w:r w:rsidR="0043503F">
              <w:rPr>
                <w:noProof/>
                <w:webHidden/>
              </w:rPr>
              <w:tab/>
            </w:r>
            <w:r w:rsidR="0043503F">
              <w:rPr>
                <w:noProof/>
                <w:webHidden/>
              </w:rPr>
              <w:fldChar w:fldCharType="begin"/>
            </w:r>
            <w:r w:rsidR="0043503F">
              <w:rPr>
                <w:noProof/>
                <w:webHidden/>
              </w:rPr>
              <w:instrText xml:space="preserve"> PAGEREF _Toc506975218 \h </w:instrText>
            </w:r>
            <w:r w:rsidR="0043503F">
              <w:rPr>
                <w:noProof/>
                <w:webHidden/>
              </w:rPr>
            </w:r>
            <w:r w:rsidR="0043503F">
              <w:rPr>
                <w:noProof/>
                <w:webHidden/>
              </w:rPr>
              <w:fldChar w:fldCharType="separate"/>
            </w:r>
            <w:r w:rsidR="0053783E">
              <w:rPr>
                <w:noProof/>
                <w:webHidden/>
              </w:rPr>
              <w:t>7</w:t>
            </w:r>
            <w:r w:rsidR="0043503F">
              <w:rPr>
                <w:noProof/>
                <w:webHidden/>
              </w:rPr>
              <w:fldChar w:fldCharType="end"/>
            </w:r>
          </w:hyperlink>
        </w:p>
        <w:p w14:paraId="5193948E" w14:textId="77777777" w:rsidR="0043503F" w:rsidRDefault="00D145B3" w:rsidP="0043503F">
          <w:pPr>
            <w:pStyle w:val="TOC2"/>
            <w:rPr>
              <w:noProof/>
              <w:color w:val="auto"/>
              <w:lang w:val="en-AU" w:eastAsia="en-AU"/>
            </w:rPr>
          </w:pPr>
          <w:hyperlink w:anchor="_Toc506975219" w:history="1">
            <w:r w:rsidR="0043503F" w:rsidRPr="00E65A61">
              <w:rPr>
                <w:rStyle w:val="Hyperlink"/>
                <w:rFonts w:cs="PostGrotesk-Book"/>
                <w:noProof/>
              </w:rPr>
              <w:t>15.</w:t>
            </w:r>
            <w:r w:rsidR="0043503F">
              <w:rPr>
                <w:noProof/>
                <w:color w:val="auto"/>
                <w:lang w:val="en-AU" w:eastAsia="en-AU"/>
              </w:rPr>
              <w:tab/>
            </w:r>
            <w:r w:rsidR="0043503F" w:rsidRPr="00E65A61">
              <w:rPr>
                <w:rStyle w:val="Hyperlink"/>
                <w:rFonts w:cs="PostGrotesk-Book"/>
                <w:noProof/>
              </w:rPr>
              <w:t>Can ISEs voluntarily share information with other ISEs or victim survivors?</w:t>
            </w:r>
            <w:r w:rsidR="0043503F">
              <w:rPr>
                <w:noProof/>
                <w:webHidden/>
              </w:rPr>
              <w:tab/>
            </w:r>
            <w:r w:rsidR="0043503F">
              <w:rPr>
                <w:noProof/>
                <w:webHidden/>
              </w:rPr>
              <w:fldChar w:fldCharType="begin"/>
            </w:r>
            <w:r w:rsidR="0043503F">
              <w:rPr>
                <w:noProof/>
                <w:webHidden/>
              </w:rPr>
              <w:instrText xml:space="preserve"> PAGEREF _Toc506975219 \h </w:instrText>
            </w:r>
            <w:r w:rsidR="0043503F">
              <w:rPr>
                <w:noProof/>
                <w:webHidden/>
              </w:rPr>
            </w:r>
            <w:r w:rsidR="0043503F">
              <w:rPr>
                <w:noProof/>
                <w:webHidden/>
              </w:rPr>
              <w:fldChar w:fldCharType="separate"/>
            </w:r>
            <w:r w:rsidR="0053783E">
              <w:rPr>
                <w:noProof/>
                <w:webHidden/>
              </w:rPr>
              <w:t>8</w:t>
            </w:r>
            <w:r w:rsidR="0043503F">
              <w:rPr>
                <w:noProof/>
                <w:webHidden/>
              </w:rPr>
              <w:fldChar w:fldCharType="end"/>
            </w:r>
          </w:hyperlink>
        </w:p>
        <w:p w14:paraId="25B6DFCF" w14:textId="77777777" w:rsidR="0043503F" w:rsidRDefault="00D145B3">
          <w:pPr>
            <w:pStyle w:val="TOC1"/>
            <w:tabs>
              <w:tab w:val="right" w:pos="9622"/>
            </w:tabs>
            <w:rPr>
              <w:rFonts w:asciiTheme="minorHAnsi" w:eastAsiaTheme="minorEastAsia" w:hAnsiTheme="minorHAnsi" w:cstheme="minorBidi"/>
              <w:b w:val="0"/>
              <w:noProof/>
              <w:color w:val="auto"/>
              <w:szCs w:val="22"/>
              <w:lang w:val="en-AU" w:eastAsia="en-AU"/>
            </w:rPr>
          </w:pPr>
          <w:hyperlink w:anchor="_Toc506975220" w:history="1">
            <w:r w:rsidR="0043503F" w:rsidRPr="00E65A61">
              <w:rPr>
                <w:rStyle w:val="Hyperlink"/>
                <w:noProof/>
              </w:rPr>
              <w:t>Important considerations when sharing information</w:t>
            </w:r>
            <w:r w:rsidR="0043503F">
              <w:rPr>
                <w:noProof/>
                <w:webHidden/>
              </w:rPr>
              <w:tab/>
            </w:r>
            <w:r w:rsidR="0043503F">
              <w:rPr>
                <w:noProof/>
                <w:webHidden/>
              </w:rPr>
              <w:fldChar w:fldCharType="begin"/>
            </w:r>
            <w:r w:rsidR="0043503F">
              <w:rPr>
                <w:noProof/>
                <w:webHidden/>
              </w:rPr>
              <w:instrText xml:space="preserve"> PAGEREF _Toc506975220 \h </w:instrText>
            </w:r>
            <w:r w:rsidR="0043503F">
              <w:rPr>
                <w:noProof/>
                <w:webHidden/>
              </w:rPr>
            </w:r>
            <w:r w:rsidR="0043503F">
              <w:rPr>
                <w:noProof/>
                <w:webHidden/>
              </w:rPr>
              <w:fldChar w:fldCharType="separate"/>
            </w:r>
            <w:r w:rsidR="0053783E">
              <w:rPr>
                <w:noProof/>
                <w:webHidden/>
              </w:rPr>
              <w:t>9</w:t>
            </w:r>
            <w:r w:rsidR="0043503F">
              <w:rPr>
                <w:noProof/>
                <w:webHidden/>
              </w:rPr>
              <w:fldChar w:fldCharType="end"/>
            </w:r>
          </w:hyperlink>
        </w:p>
        <w:p w14:paraId="73B4C1F7" w14:textId="77777777" w:rsidR="0043503F" w:rsidRDefault="00D145B3" w:rsidP="0043503F">
          <w:pPr>
            <w:pStyle w:val="TOC2"/>
            <w:rPr>
              <w:noProof/>
              <w:color w:val="auto"/>
              <w:lang w:val="en-AU" w:eastAsia="en-AU"/>
            </w:rPr>
          </w:pPr>
          <w:hyperlink w:anchor="_Toc506975221" w:history="1">
            <w:r w:rsidR="0043503F" w:rsidRPr="00E65A61">
              <w:rPr>
                <w:rStyle w:val="Hyperlink"/>
                <w:rFonts w:cs="PostGrotesk-Book"/>
                <w:noProof/>
              </w:rPr>
              <w:t>16.</w:t>
            </w:r>
            <w:r w:rsidR="0043503F">
              <w:rPr>
                <w:noProof/>
                <w:color w:val="auto"/>
                <w:lang w:val="en-AU" w:eastAsia="en-AU"/>
              </w:rPr>
              <w:tab/>
            </w:r>
            <w:r w:rsidR="0043503F" w:rsidRPr="00E65A61">
              <w:rPr>
                <w:rStyle w:val="Hyperlink"/>
                <w:rFonts w:cs="PostGrotesk-Book"/>
                <w:noProof/>
              </w:rPr>
              <w:t>Do practitioners need to seek the consent of an individual before sharing information about them?</w:t>
            </w:r>
            <w:r w:rsidR="0043503F">
              <w:rPr>
                <w:noProof/>
                <w:webHidden/>
              </w:rPr>
              <w:tab/>
            </w:r>
            <w:r w:rsidR="0043503F">
              <w:rPr>
                <w:noProof/>
                <w:webHidden/>
              </w:rPr>
              <w:fldChar w:fldCharType="begin"/>
            </w:r>
            <w:r w:rsidR="0043503F">
              <w:rPr>
                <w:noProof/>
                <w:webHidden/>
              </w:rPr>
              <w:instrText xml:space="preserve"> PAGEREF _Toc506975221 \h </w:instrText>
            </w:r>
            <w:r w:rsidR="0043503F">
              <w:rPr>
                <w:noProof/>
                <w:webHidden/>
              </w:rPr>
            </w:r>
            <w:r w:rsidR="0043503F">
              <w:rPr>
                <w:noProof/>
                <w:webHidden/>
              </w:rPr>
              <w:fldChar w:fldCharType="separate"/>
            </w:r>
            <w:r w:rsidR="0053783E">
              <w:rPr>
                <w:noProof/>
                <w:webHidden/>
              </w:rPr>
              <w:t>9</w:t>
            </w:r>
            <w:r w:rsidR="0043503F">
              <w:rPr>
                <w:noProof/>
                <w:webHidden/>
              </w:rPr>
              <w:fldChar w:fldCharType="end"/>
            </w:r>
          </w:hyperlink>
        </w:p>
        <w:p w14:paraId="788222A7" w14:textId="77777777" w:rsidR="0043503F" w:rsidRDefault="00D145B3" w:rsidP="0043503F">
          <w:pPr>
            <w:pStyle w:val="TOC2"/>
            <w:rPr>
              <w:noProof/>
              <w:color w:val="auto"/>
              <w:lang w:val="en-AU" w:eastAsia="en-AU"/>
            </w:rPr>
          </w:pPr>
          <w:hyperlink w:anchor="_Toc506975222" w:history="1">
            <w:r w:rsidR="0043503F" w:rsidRPr="00E65A61">
              <w:rPr>
                <w:rStyle w:val="Hyperlink"/>
                <w:rFonts w:cs="PostGrotesk-Book"/>
                <w:noProof/>
              </w:rPr>
              <w:t>17.</w:t>
            </w:r>
            <w:r w:rsidR="0043503F">
              <w:rPr>
                <w:noProof/>
                <w:color w:val="auto"/>
                <w:lang w:val="en-AU" w:eastAsia="en-AU"/>
              </w:rPr>
              <w:tab/>
            </w:r>
            <w:r w:rsidR="0043503F" w:rsidRPr="00E65A61">
              <w:rPr>
                <w:rStyle w:val="Hyperlink"/>
                <w:rFonts w:cs="PostGrotesk-Book"/>
                <w:noProof/>
              </w:rPr>
              <w:t>How does the scheme deal with unauthorised sharing of confidential information?</w:t>
            </w:r>
            <w:r w:rsidR="0043503F">
              <w:rPr>
                <w:noProof/>
                <w:webHidden/>
              </w:rPr>
              <w:tab/>
            </w:r>
            <w:r w:rsidR="0043503F">
              <w:rPr>
                <w:noProof/>
                <w:webHidden/>
              </w:rPr>
              <w:fldChar w:fldCharType="begin"/>
            </w:r>
            <w:r w:rsidR="0043503F">
              <w:rPr>
                <w:noProof/>
                <w:webHidden/>
              </w:rPr>
              <w:instrText xml:space="preserve"> PAGEREF _Toc506975222 \h </w:instrText>
            </w:r>
            <w:r w:rsidR="0043503F">
              <w:rPr>
                <w:noProof/>
                <w:webHidden/>
              </w:rPr>
            </w:r>
            <w:r w:rsidR="0043503F">
              <w:rPr>
                <w:noProof/>
                <w:webHidden/>
              </w:rPr>
              <w:fldChar w:fldCharType="separate"/>
            </w:r>
            <w:r w:rsidR="0053783E">
              <w:rPr>
                <w:noProof/>
                <w:webHidden/>
              </w:rPr>
              <w:t>9</w:t>
            </w:r>
            <w:r w:rsidR="0043503F">
              <w:rPr>
                <w:noProof/>
                <w:webHidden/>
              </w:rPr>
              <w:fldChar w:fldCharType="end"/>
            </w:r>
          </w:hyperlink>
        </w:p>
        <w:p w14:paraId="33785FAC" w14:textId="77777777" w:rsidR="0043503F" w:rsidRDefault="00D145B3" w:rsidP="0043503F">
          <w:pPr>
            <w:pStyle w:val="TOC2"/>
            <w:rPr>
              <w:noProof/>
              <w:color w:val="auto"/>
              <w:lang w:val="en-AU" w:eastAsia="en-AU"/>
            </w:rPr>
          </w:pPr>
          <w:hyperlink w:anchor="_Toc506975223" w:history="1">
            <w:r w:rsidR="0043503F" w:rsidRPr="00E65A61">
              <w:rPr>
                <w:rStyle w:val="Hyperlink"/>
                <w:rFonts w:cs="PostGrotesk-Book"/>
                <w:noProof/>
              </w:rPr>
              <w:t>18.</w:t>
            </w:r>
            <w:r w:rsidR="0043503F">
              <w:rPr>
                <w:noProof/>
                <w:color w:val="auto"/>
                <w:lang w:val="en-AU" w:eastAsia="en-AU"/>
              </w:rPr>
              <w:tab/>
            </w:r>
            <w:r w:rsidR="0043503F" w:rsidRPr="00E65A61">
              <w:rPr>
                <w:rStyle w:val="Hyperlink"/>
                <w:rFonts w:cs="PostGrotesk-Book"/>
                <w:noProof/>
              </w:rPr>
              <w:t>What can an individual do if they believe their information has been shared inappropriately?</w:t>
            </w:r>
            <w:r w:rsidR="0043503F">
              <w:rPr>
                <w:noProof/>
                <w:webHidden/>
              </w:rPr>
              <w:tab/>
            </w:r>
            <w:r w:rsidR="0043503F">
              <w:rPr>
                <w:noProof/>
                <w:webHidden/>
              </w:rPr>
              <w:fldChar w:fldCharType="begin"/>
            </w:r>
            <w:r w:rsidR="0043503F">
              <w:rPr>
                <w:noProof/>
                <w:webHidden/>
              </w:rPr>
              <w:instrText xml:space="preserve"> PAGEREF _Toc506975223 \h </w:instrText>
            </w:r>
            <w:r w:rsidR="0043503F">
              <w:rPr>
                <w:noProof/>
                <w:webHidden/>
              </w:rPr>
            </w:r>
            <w:r w:rsidR="0043503F">
              <w:rPr>
                <w:noProof/>
                <w:webHidden/>
              </w:rPr>
              <w:fldChar w:fldCharType="separate"/>
            </w:r>
            <w:r w:rsidR="0053783E">
              <w:rPr>
                <w:noProof/>
                <w:webHidden/>
              </w:rPr>
              <w:t>10</w:t>
            </w:r>
            <w:r w:rsidR="0043503F">
              <w:rPr>
                <w:noProof/>
                <w:webHidden/>
              </w:rPr>
              <w:fldChar w:fldCharType="end"/>
            </w:r>
          </w:hyperlink>
        </w:p>
        <w:p w14:paraId="2BFB1ED4" w14:textId="77777777" w:rsidR="0043503F" w:rsidRDefault="00D145B3">
          <w:pPr>
            <w:pStyle w:val="TOC1"/>
            <w:tabs>
              <w:tab w:val="right" w:pos="9622"/>
            </w:tabs>
            <w:rPr>
              <w:rFonts w:asciiTheme="minorHAnsi" w:eastAsiaTheme="minorEastAsia" w:hAnsiTheme="minorHAnsi" w:cstheme="minorBidi"/>
              <w:b w:val="0"/>
              <w:noProof/>
              <w:color w:val="auto"/>
              <w:szCs w:val="22"/>
              <w:lang w:val="en-AU" w:eastAsia="en-AU"/>
            </w:rPr>
          </w:pPr>
          <w:hyperlink w:anchor="_Toc506975224" w:history="1">
            <w:r w:rsidR="0043503F" w:rsidRPr="00E65A61">
              <w:rPr>
                <w:rStyle w:val="Hyperlink"/>
                <w:noProof/>
                <w:lang w:val="en-AU"/>
              </w:rPr>
              <w:t>Appendices</w:t>
            </w:r>
            <w:r w:rsidR="0043503F">
              <w:rPr>
                <w:noProof/>
                <w:webHidden/>
              </w:rPr>
              <w:tab/>
            </w:r>
            <w:r w:rsidR="0043503F">
              <w:rPr>
                <w:noProof/>
                <w:webHidden/>
              </w:rPr>
              <w:fldChar w:fldCharType="begin"/>
            </w:r>
            <w:r w:rsidR="0043503F">
              <w:rPr>
                <w:noProof/>
                <w:webHidden/>
              </w:rPr>
              <w:instrText xml:space="preserve"> PAGEREF _Toc506975224 \h </w:instrText>
            </w:r>
            <w:r w:rsidR="0043503F">
              <w:rPr>
                <w:noProof/>
                <w:webHidden/>
              </w:rPr>
            </w:r>
            <w:r w:rsidR="0043503F">
              <w:rPr>
                <w:noProof/>
                <w:webHidden/>
              </w:rPr>
              <w:fldChar w:fldCharType="separate"/>
            </w:r>
            <w:r w:rsidR="0053783E">
              <w:rPr>
                <w:noProof/>
                <w:webHidden/>
              </w:rPr>
              <w:t>11</w:t>
            </w:r>
            <w:r w:rsidR="0043503F">
              <w:rPr>
                <w:noProof/>
                <w:webHidden/>
              </w:rPr>
              <w:fldChar w:fldCharType="end"/>
            </w:r>
          </w:hyperlink>
        </w:p>
        <w:p w14:paraId="5BDA8095" w14:textId="77777777" w:rsidR="0043503F" w:rsidRDefault="00D145B3" w:rsidP="0043503F">
          <w:pPr>
            <w:pStyle w:val="TOC2"/>
            <w:rPr>
              <w:noProof/>
              <w:color w:val="auto"/>
              <w:lang w:val="en-AU" w:eastAsia="en-AU"/>
            </w:rPr>
          </w:pPr>
          <w:hyperlink w:anchor="_Toc506975225" w:history="1">
            <w:r w:rsidR="0043503F" w:rsidRPr="00E65A61">
              <w:rPr>
                <w:rStyle w:val="Hyperlink"/>
                <w:noProof/>
              </w:rPr>
              <w:t>Appendix A: Useful terms and acronyms</w:t>
            </w:r>
            <w:r w:rsidR="0043503F">
              <w:rPr>
                <w:noProof/>
                <w:webHidden/>
              </w:rPr>
              <w:tab/>
            </w:r>
            <w:r w:rsidR="0043503F">
              <w:rPr>
                <w:noProof/>
                <w:webHidden/>
              </w:rPr>
              <w:fldChar w:fldCharType="begin"/>
            </w:r>
            <w:r w:rsidR="0043503F">
              <w:rPr>
                <w:noProof/>
                <w:webHidden/>
              </w:rPr>
              <w:instrText xml:space="preserve"> PAGEREF _Toc506975225 \h </w:instrText>
            </w:r>
            <w:r w:rsidR="0043503F">
              <w:rPr>
                <w:noProof/>
                <w:webHidden/>
              </w:rPr>
            </w:r>
            <w:r w:rsidR="0043503F">
              <w:rPr>
                <w:noProof/>
                <w:webHidden/>
              </w:rPr>
              <w:fldChar w:fldCharType="separate"/>
            </w:r>
            <w:r w:rsidR="0053783E">
              <w:rPr>
                <w:noProof/>
                <w:webHidden/>
              </w:rPr>
              <w:t>11</w:t>
            </w:r>
            <w:r w:rsidR="0043503F">
              <w:rPr>
                <w:noProof/>
                <w:webHidden/>
              </w:rPr>
              <w:fldChar w:fldCharType="end"/>
            </w:r>
          </w:hyperlink>
        </w:p>
        <w:p w14:paraId="6883BE9A" w14:textId="77777777" w:rsidR="0043503F" w:rsidRDefault="00D145B3" w:rsidP="0043503F">
          <w:pPr>
            <w:pStyle w:val="TOC2"/>
            <w:rPr>
              <w:noProof/>
              <w:color w:val="auto"/>
              <w:lang w:val="en-AU" w:eastAsia="en-AU"/>
            </w:rPr>
          </w:pPr>
          <w:hyperlink w:anchor="_Toc506975226" w:history="1">
            <w:r w:rsidR="0043503F" w:rsidRPr="00E65A61">
              <w:rPr>
                <w:rStyle w:val="Hyperlink"/>
                <w:noProof/>
              </w:rPr>
              <w:t>Appendix B: Key resources</w:t>
            </w:r>
            <w:r w:rsidR="0043503F">
              <w:rPr>
                <w:noProof/>
                <w:webHidden/>
              </w:rPr>
              <w:tab/>
            </w:r>
            <w:r w:rsidR="0043503F">
              <w:rPr>
                <w:noProof/>
                <w:webHidden/>
              </w:rPr>
              <w:fldChar w:fldCharType="begin"/>
            </w:r>
            <w:r w:rsidR="0043503F">
              <w:rPr>
                <w:noProof/>
                <w:webHidden/>
              </w:rPr>
              <w:instrText xml:space="preserve"> PAGEREF _Toc506975226 \h </w:instrText>
            </w:r>
            <w:r w:rsidR="0043503F">
              <w:rPr>
                <w:noProof/>
                <w:webHidden/>
              </w:rPr>
            </w:r>
            <w:r w:rsidR="0043503F">
              <w:rPr>
                <w:noProof/>
                <w:webHidden/>
              </w:rPr>
              <w:fldChar w:fldCharType="separate"/>
            </w:r>
            <w:r w:rsidR="0053783E">
              <w:rPr>
                <w:noProof/>
                <w:webHidden/>
              </w:rPr>
              <w:t>12</w:t>
            </w:r>
            <w:r w:rsidR="0043503F">
              <w:rPr>
                <w:noProof/>
                <w:webHidden/>
              </w:rPr>
              <w:fldChar w:fldCharType="end"/>
            </w:r>
          </w:hyperlink>
        </w:p>
        <w:p w14:paraId="2133F80F" w14:textId="77777777" w:rsidR="00C667D7" w:rsidRDefault="00BE2361" w:rsidP="0043503F">
          <w:r>
            <w:rPr>
              <w:color w:val="55565A"/>
              <w:sz w:val="22"/>
            </w:rPr>
            <w:fldChar w:fldCharType="end"/>
          </w:r>
        </w:p>
      </w:sdtContent>
    </w:sdt>
    <w:p w14:paraId="61C01051" w14:textId="77777777" w:rsidR="00C667D7" w:rsidRDefault="00C667D7" w:rsidP="00EF06C1">
      <w:pPr>
        <w:pStyle w:val="SectionHeading1"/>
        <w:outlineLvl w:val="0"/>
        <w:sectPr w:rsidR="00C667D7" w:rsidSect="00C667D7">
          <w:type w:val="continuous"/>
          <w:pgSz w:w="11900" w:h="16840"/>
          <w:pgMar w:top="1134" w:right="1134" w:bottom="1134" w:left="1134" w:header="397" w:footer="510" w:gutter="0"/>
          <w:cols w:space="720"/>
          <w:titlePg/>
          <w:docGrid w:linePitch="360"/>
        </w:sectPr>
      </w:pPr>
    </w:p>
    <w:p w14:paraId="203EEE76" w14:textId="77777777" w:rsidR="00C667D7" w:rsidRDefault="00C667D7" w:rsidP="00EF06C1">
      <w:pPr>
        <w:pStyle w:val="SectionHeading1"/>
        <w:outlineLvl w:val="0"/>
        <w:sectPr w:rsidR="00C667D7" w:rsidSect="00DB044A">
          <w:type w:val="continuous"/>
          <w:pgSz w:w="11900" w:h="16840"/>
          <w:pgMar w:top="1134" w:right="1134" w:bottom="1134" w:left="1134" w:header="397" w:footer="510" w:gutter="0"/>
          <w:cols w:num="2" w:space="720"/>
          <w:titlePg/>
          <w:docGrid w:linePitch="360"/>
        </w:sectPr>
      </w:pPr>
    </w:p>
    <w:p w14:paraId="294EE216" w14:textId="77777777" w:rsidR="00F36C34" w:rsidRPr="008B7923" w:rsidRDefault="006978C4" w:rsidP="00EF06C1">
      <w:pPr>
        <w:pStyle w:val="SectionHeading1"/>
        <w:outlineLvl w:val="0"/>
      </w:pPr>
      <w:bookmarkStart w:id="1" w:name="_Toc506973427"/>
      <w:bookmarkStart w:id="2" w:name="_Toc506975202"/>
      <w:r w:rsidRPr="006978C4">
        <w:lastRenderedPageBreak/>
        <w:t>Introduction</w:t>
      </w:r>
      <w:bookmarkEnd w:id="1"/>
      <w:bookmarkEnd w:id="2"/>
    </w:p>
    <w:p w14:paraId="524428D4" w14:textId="77777777" w:rsidR="00C667D7" w:rsidRPr="00C667D7" w:rsidRDefault="00C667D7" w:rsidP="00C667D7">
      <w:pPr>
        <w:pStyle w:val="Body"/>
      </w:pPr>
      <w:r w:rsidRPr="00C667D7">
        <w:t xml:space="preserve">The </w:t>
      </w:r>
      <w:r w:rsidRPr="00C667D7">
        <w:rPr>
          <w:i/>
        </w:rPr>
        <w:t xml:space="preserve">Family Violence Protection Amendment (Information </w:t>
      </w:r>
      <w:r w:rsidRPr="00BE2361">
        <w:rPr>
          <w:i/>
        </w:rPr>
        <w:t>Sharing</w:t>
      </w:r>
      <w:r w:rsidRPr="00C667D7">
        <w:rPr>
          <w:i/>
        </w:rPr>
        <w:t xml:space="preserve">) Act 2017 </w:t>
      </w:r>
      <w:r w:rsidRPr="00C667D7">
        <w:t>(</w:t>
      </w:r>
      <w:r w:rsidRPr="007C0712">
        <w:rPr>
          <w:b/>
        </w:rPr>
        <w:t>the Amending Act</w:t>
      </w:r>
      <w:r w:rsidRPr="00C667D7">
        <w:t xml:space="preserve">) creates a new scheme for information sharing in Victoria. In doing so, the Amending Act makes a number of subsequent amendments to the </w:t>
      </w:r>
      <w:r w:rsidRPr="00C667D7">
        <w:rPr>
          <w:i/>
        </w:rPr>
        <w:t xml:space="preserve">Privacy and Data Protection Act 2014 </w:t>
      </w:r>
      <w:r w:rsidRPr="00C667D7">
        <w:t>(</w:t>
      </w:r>
      <w:r w:rsidRPr="007C0712">
        <w:rPr>
          <w:b/>
        </w:rPr>
        <w:t>PDPA</w:t>
      </w:r>
      <w:r w:rsidRPr="00C667D7">
        <w:t xml:space="preserve">) and the </w:t>
      </w:r>
      <w:r w:rsidRPr="00C667D7">
        <w:rPr>
          <w:i/>
        </w:rPr>
        <w:t xml:space="preserve">Health Records Act 2001 </w:t>
      </w:r>
      <w:r w:rsidRPr="00C667D7">
        <w:t>(</w:t>
      </w:r>
      <w:r w:rsidRPr="007C0712">
        <w:rPr>
          <w:b/>
        </w:rPr>
        <w:t>HRA</w:t>
      </w:r>
      <w:r w:rsidRPr="00C667D7">
        <w:t xml:space="preserve">). </w:t>
      </w:r>
    </w:p>
    <w:p w14:paraId="1BDF27C2" w14:textId="77777777" w:rsidR="00C667D7" w:rsidRPr="00C667D7" w:rsidRDefault="00C667D7" w:rsidP="00C667D7">
      <w:pPr>
        <w:pStyle w:val="Body"/>
      </w:pPr>
      <w:r w:rsidRPr="00C667D7">
        <w:t xml:space="preserve">The Amending Act forms part of the legislative response to the recommendations of the 2016 Royal Commission into Family Violence. This scheme is designed to minimise the legislative barriers that had previously prevented the timely and effective sharing of information in cases of family violence. </w:t>
      </w:r>
    </w:p>
    <w:p w14:paraId="5B04EFAD" w14:textId="32F8565C" w:rsidR="00C667D7" w:rsidRDefault="00C667D7" w:rsidP="00C667D7">
      <w:pPr>
        <w:pStyle w:val="Body"/>
      </w:pPr>
      <w:r w:rsidRPr="00C667D7">
        <w:t>This Frequently Asked Questions (</w:t>
      </w:r>
      <w:r w:rsidRPr="007C0712">
        <w:rPr>
          <w:b/>
        </w:rPr>
        <w:t>FAQs</w:t>
      </w:r>
      <w:r w:rsidRPr="00C667D7">
        <w:t>) document has been prepared for practitioners who have a role in assessing and managing family violence risk.</w:t>
      </w:r>
      <w:r w:rsidR="00B65854">
        <w:rPr>
          <w:rStyle w:val="FootnoteReference"/>
        </w:rPr>
        <w:footnoteReference w:id="2"/>
      </w:r>
      <w:r w:rsidRPr="00C667D7">
        <w:t xml:space="preserve"> The intention of these FAQs is to provide an overview of the relevant changes to the PDPA and the HRA, and consider how they operate within the wider family violence information sharing scheme. </w:t>
      </w:r>
    </w:p>
    <w:p w14:paraId="676BB482" w14:textId="77777777" w:rsidR="00C667D7" w:rsidRPr="00C667D7" w:rsidRDefault="00C667D7" w:rsidP="00C667D7">
      <w:pPr>
        <w:pStyle w:val="Body"/>
      </w:pPr>
      <w:r w:rsidRPr="00C667D7">
        <w:t xml:space="preserve">For further information on any of the topics covered in this document please refer to the Ministerial </w:t>
      </w:r>
      <w:hyperlink r:id="rId15" w:history="1">
        <w:r w:rsidRPr="00C667D7">
          <w:rPr>
            <w:rStyle w:val="Hyperlink"/>
            <w:i/>
          </w:rPr>
          <w:t>Family Violence Information Sharing Guidelines</w:t>
        </w:r>
      </w:hyperlink>
      <w:r w:rsidRPr="00C667D7">
        <w:rPr>
          <w:i/>
        </w:rPr>
        <w:t xml:space="preserve"> </w:t>
      </w:r>
      <w:r w:rsidRPr="00C667D7">
        <w:t>(</w:t>
      </w:r>
      <w:r w:rsidRPr="007C0712">
        <w:rPr>
          <w:b/>
        </w:rPr>
        <w:t>the Guidelines</w:t>
      </w:r>
      <w:r w:rsidRPr="00C667D7">
        <w:t>)</w:t>
      </w:r>
      <w:r w:rsidRPr="00C667D7">
        <w:rPr>
          <w:i/>
        </w:rPr>
        <w:t xml:space="preserve"> </w:t>
      </w:r>
      <w:r w:rsidRPr="00C667D7">
        <w:t>published by Family Safety Victoria. The Guidelines are issued by the responsible Minister and are legally binding, applying to all information sharing entities (</w:t>
      </w:r>
      <w:r w:rsidRPr="007C0712">
        <w:rPr>
          <w:b/>
        </w:rPr>
        <w:t>ISEs</w:t>
      </w:r>
      <w:r w:rsidRPr="00C667D7">
        <w:t xml:space="preserve">). </w:t>
      </w:r>
    </w:p>
    <w:p w14:paraId="29F8D850" w14:textId="77777777" w:rsidR="00C667D7" w:rsidRPr="00C667D7" w:rsidRDefault="00C667D7" w:rsidP="00BE2361">
      <w:pPr>
        <w:pStyle w:val="SectionHeading2"/>
        <w:numPr>
          <w:ilvl w:val="0"/>
          <w:numId w:val="7"/>
        </w:numPr>
        <w:rPr>
          <w:lang w:val="en-US"/>
        </w:rPr>
      </w:pPr>
      <w:bookmarkStart w:id="3" w:name="_Toc506975203"/>
      <w:r w:rsidRPr="00C667D7">
        <w:rPr>
          <w:lang w:val="en-US"/>
        </w:rPr>
        <w:t>Privacy law in Victoria: What are the existing obligations for Victorian public sector organisations?</w:t>
      </w:r>
      <w:bookmarkEnd w:id="3"/>
      <w:r w:rsidRPr="00C667D7">
        <w:rPr>
          <w:lang w:val="en-US"/>
        </w:rPr>
        <w:t xml:space="preserve"> </w:t>
      </w:r>
    </w:p>
    <w:p w14:paraId="4A8F3CEB" w14:textId="77777777" w:rsidR="00C667D7" w:rsidRDefault="00C667D7" w:rsidP="00C667D7">
      <w:pPr>
        <w:pStyle w:val="Body"/>
      </w:pPr>
      <w:r w:rsidRPr="00303C14">
        <w:t>The new family violence information sharing scheme is designed to operate within the existing privacy obligations under the PDPA and HRA.</w:t>
      </w:r>
    </w:p>
    <w:p w14:paraId="7420E4A0" w14:textId="77777777" w:rsidR="00C667D7" w:rsidRPr="00303C14" w:rsidRDefault="00C667D7" w:rsidP="00B65854">
      <w:pPr>
        <w:pStyle w:val="Body"/>
        <w:keepNext/>
        <w:widowControl/>
      </w:pPr>
      <w:r w:rsidRPr="00303C14">
        <w:lastRenderedPageBreak/>
        <w:t>Victorian public sector organisations, including contracted service providers of the Victorian government and local councils, have ongoing obligations to protect the personal information of individuals under the PDPA.</w:t>
      </w:r>
      <w:r w:rsidRPr="00303C14">
        <w:rPr>
          <w:vertAlign w:val="superscript"/>
        </w:rPr>
        <w:footnoteReference w:id="3"/>
      </w:r>
      <w:r w:rsidRPr="00303C14">
        <w:t xml:space="preserve"> Where a Victorian public sector organisation collects, holds, uses or discloses personal inform</w:t>
      </w:r>
      <w:r>
        <w:t>ation, it must adhere to the 10</w:t>
      </w:r>
      <w:r w:rsidRPr="00303C14">
        <w:t xml:space="preserve"> Information Privacy Principles (</w:t>
      </w:r>
      <w:r w:rsidRPr="007C0712">
        <w:rPr>
          <w:b/>
        </w:rPr>
        <w:t>IPPs</w:t>
      </w:r>
      <w:r w:rsidRPr="00303C14">
        <w:t>), listed in Schedule 1 of the PDPA. The IPPs set out the minimum standards for how the Victorian public sector shou</w:t>
      </w:r>
      <w:r>
        <w:t>ld handle personal information, including</w:t>
      </w:r>
      <w:r w:rsidRPr="00303C14">
        <w:t xml:space="preserve"> the types of information they are required or permitted to collect, how that information is used and shared, how the information is protected, and for how long the information will be retained. </w:t>
      </w:r>
    </w:p>
    <w:p w14:paraId="2CEFC57D" w14:textId="39066425" w:rsidR="00C667D7" w:rsidRPr="00303C14" w:rsidRDefault="00C667D7" w:rsidP="00C667D7">
      <w:pPr>
        <w:pStyle w:val="Body"/>
      </w:pPr>
      <w:r w:rsidRPr="00303C14">
        <w:t>Victorian public sector organisations and private organisations holding health information have obligations to protect the health information of individuals under the HRA.</w:t>
      </w:r>
      <w:r w:rsidRPr="00303C14">
        <w:rPr>
          <w:rStyle w:val="FootnoteReference"/>
          <w:color w:val="4A442A" w:themeColor="background2" w:themeShade="40"/>
        </w:rPr>
        <w:footnoteReference w:id="4"/>
      </w:r>
      <w:r w:rsidRPr="00303C14">
        <w:t xml:space="preserve"> The HRA contains 11 Health Privacy Principles </w:t>
      </w:r>
      <w:r w:rsidR="00A91F2D">
        <w:t>(</w:t>
      </w:r>
      <w:r w:rsidR="00A91F2D" w:rsidRPr="001064BA">
        <w:rPr>
          <w:b/>
        </w:rPr>
        <w:t>HPPs</w:t>
      </w:r>
      <w:r w:rsidR="00A91F2D">
        <w:t>)</w:t>
      </w:r>
      <w:r w:rsidR="004C6613">
        <w:t xml:space="preserve"> </w:t>
      </w:r>
      <w:r w:rsidRPr="00303C14">
        <w:t xml:space="preserve">that set the minimum requirements for the handling of health information throughout its lifecycle, similarly to the IPPs under the PDPA. </w:t>
      </w:r>
    </w:p>
    <w:p w14:paraId="05780D87" w14:textId="77777777" w:rsidR="00C667D7" w:rsidRPr="00303C14" w:rsidRDefault="00C667D7" w:rsidP="00C667D7">
      <w:pPr>
        <w:pStyle w:val="Body"/>
      </w:pPr>
      <w:r w:rsidRPr="00303C14">
        <w:t xml:space="preserve">Victorian public sector organisations also have obligations to ensure the security of any public sector data (including personal information) that they may hold. This involves compliance with the Victorian </w:t>
      </w:r>
      <w:r w:rsidRPr="00C667D7">
        <w:t>Protective</w:t>
      </w:r>
      <w:r w:rsidRPr="00303C14">
        <w:t xml:space="preserve"> Data Security Framework </w:t>
      </w:r>
      <w:r>
        <w:t>(</w:t>
      </w:r>
      <w:r w:rsidRPr="007C0712">
        <w:rPr>
          <w:b/>
        </w:rPr>
        <w:t>VPDSF</w:t>
      </w:r>
      <w:r>
        <w:t xml:space="preserve">) </w:t>
      </w:r>
      <w:r w:rsidRPr="00303C14">
        <w:t>and Victorian Protective Data Security Standards</w:t>
      </w:r>
      <w:r>
        <w:t xml:space="preserve"> (</w:t>
      </w:r>
      <w:r w:rsidRPr="007C0712">
        <w:rPr>
          <w:b/>
        </w:rPr>
        <w:t>VPDSS</w:t>
      </w:r>
      <w:r>
        <w:t>)</w:t>
      </w:r>
      <w:r w:rsidRPr="00303C14">
        <w:t>.</w:t>
      </w:r>
      <w:r>
        <w:rPr>
          <w:rStyle w:val="FootnoteReference"/>
          <w:color w:val="4A442A" w:themeColor="background2" w:themeShade="40"/>
        </w:rPr>
        <w:footnoteReference w:id="5"/>
      </w:r>
      <w:r w:rsidRPr="00303C14">
        <w:t xml:space="preserve"> </w:t>
      </w:r>
    </w:p>
    <w:p w14:paraId="69ABA199" w14:textId="77777777" w:rsidR="00C667D7" w:rsidRDefault="00C667D7" w:rsidP="00C667D7">
      <w:pPr>
        <w:pStyle w:val="Body"/>
      </w:pPr>
      <w:r w:rsidRPr="00303C14">
        <w:rPr>
          <w:b/>
        </w:rPr>
        <w:t>Appendix B</w:t>
      </w:r>
      <w:r w:rsidRPr="00303C14">
        <w:t xml:space="preserve"> of these FAQs lists a number of resources to assist practitioners to understand their overarching privacy obligations under Victorian privacy law.  </w:t>
      </w:r>
    </w:p>
    <w:p w14:paraId="78635534" w14:textId="77777777" w:rsidR="00DB2EF3" w:rsidRDefault="00DB2EF3" w:rsidP="003D2048">
      <w:pPr>
        <w:pStyle w:val="SectionHeading1"/>
        <w:keepNext/>
        <w:widowControl/>
      </w:pPr>
      <w:bookmarkStart w:id="4" w:name="_Toc506975204"/>
      <w:r w:rsidRPr="00DB2EF3">
        <w:lastRenderedPageBreak/>
        <w:t>Changes to the privacy landscape under the scheme</w:t>
      </w:r>
      <w:bookmarkEnd w:id="4"/>
    </w:p>
    <w:p w14:paraId="15C897F1" w14:textId="77777777" w:rsidR="00DB2EF3" w:rsidRDefault="00DB2EF3" w:rsidP="003D2048">
      <w:pPr>
        <w:pStyle w:val="SectionHeading2"/>
        <w:keepNext/>
        <w:widowControl/>
        <w:numPr>
          <w:ilvl w:val="0"/>
          <w:numId w:val="7"/>
        </w:numPr>
      </w:pPr>
      <w:bookmarkStart w:id="5" w:name="_Toc506975205"/>
      <w:r w:rsidRPr="00DB2EF3">
        <w:t>How does the scheme operate?</w:t>
      </w:r>
      <w:bookmarkEnd w:id="5"/>
      <w:r w:rsidRPr="00DB2EF3">
        <w:t xml:space="preserve">  </w:t>
      </w:r>
    </w:p>
    <w:p w14:paraId="4B79A954" w14:textId="77777777" w:rsidR="00DB2EF3" w:rsidRDefault="00DB2EF3" w:rsidP="003D2048">
      <w:pPr>
        <w:pStyle w:val="Body"/>
        <w:keepNext/>
        <w:widowControl/>
        <w:rPr>
          <w:i/>
        </w:rPr>
      </w:pPr>
      <w:r>
        <w:t>The A</w:t>
      </w:r>
      <w:r w:rsidRPr="00303C14">
        <w:t xml:space="preserve">mending Act inserts a new Part 5A into the </w:t>
      </w:r>
      <w:r w:rsidRPr="00303C14">
        <w:rPr>
          <w:i/>
        </w:rPr>
        <w:t>Family Violence Protection Act 2008</w:t>
      </w:r>
      <w:r w:rsidRPr="00303C14">
        <w:t xml:space="preserve"> (</w:t>
      </w:r>
      <w:r w:rsidRPr="007C0712">
        <w:rPr>
          <w:b/>
        </w:rPr>
        <w:t>FVP Act</w:t>
      </w:r>
      <w:r w:rsidRPr="00303C14">
        <w:t>)</w:t>
      </w:r>
      <w:r w:rsidRPr="00303C14">
        <w:rPr>
          <w:i/>
        </w:rPr>
        <w:t xml:space="preserve">. </w:t>
      </w:r>
    </w:p>
    <w:p w14:paraId="1561DEE0" w14:textId="77777777" w:rsidR="00DB2EF3" w:rsidRPr="00303C14" w:rsidRDefault="00DB2EF3" w:rsidP="00DB2EF3">
      <w:pPr>
        <w:pStyle w:val="Body"/>
      </w:pPr>
      <w:r w:rsidRPr="00303C14">
        <w:t xml:space="preserve">Part 5A relates specifically to information sharing and includes provisions that require and permit the collection, use or disclosure of confidential information (including </w:t>
      </w:r>
      <w:r>
        <w:t>personal</w:t>
      </w:r>
      <w:r w:rsidRPr="00303C14">
        <w:t xml:space="preserve"> information and </w:t>
      </w:r>
      <w:r>
        <w:t>health</w:t>
      </w:r>
      <w:r w:rsidRPr="00303C14">
        <w:t xml:space="preserve"> information) for family violence assessment or protection (risk management) purposes. These purposes are defined in the FVP Act and are set out in Question 11 below. The information may relate to victim survivors, perpetrators or alleged perpetrators, and linked persons</w:t>
      </w:r>
      <w:r w:rsidRPr="00303C14">
        <w:rPr>
          <w:rStyle w:val="FootnoteReference"/>
          <w:color w:val="4A442A" w:themeColor="background2" w:themeShade="40"/>
        </w:rPr>
        <w:footnoteReference w:id="6"/>
      </w:r>
      <w:r w:rsidRPr="00303C14">
        <w:t xml:space="preserve"> (such as previous partners, friends or neighbour</w:t>
      </w:r>
      <w:r>
        <w:t>s of either a victim survivor,</w:t>
      </w:r>
      <w:r w:rsidRPr="00303C14">
        <w:t xml:space="preserve"> perpetrator or alleged perpetrator). </w:t>
      </w:r>
    </w:p>
    <w:p w14:paraId="66AFE54E" w14:textId="77777777" w:rsidR="00DB2EF3" w:rsidRDefault="00DB2EF3" w:rsidP="00DB2EF3">
      <w:pPr>
        <w:pStyle w:val="Body"/>
      </w:pPr>
      <w:r w:rsidRPr="00303C14">
        <w:t xml:space="preserve">As an initial point of reference, if information could already be shared under existing arrangements or laws, including privacy laws, then entities prescribed under the scheme may continue to </w:t>
      </w:r>
      <w:r>
        <w:t>share under these laws</w:t>
      </w:r>
      <w:r w:rsidRPr="00303C14">
        <w:t xml:space="preserve"> and the provisions of Part 5A </w:t>
      </w:r>
      <w:r w:rsidRPr="00303C14">
        <w:rPr>
          <w:b/>
        </w:rPr>
        <w:t xml:space="preserve">do not need to be met before sharing the information. </w:t>
      </w:r>
      <w:r w:rsidRPr="00303C14">
        <w:t>For example, a law enforcement agency with the authority to share personal information under s 15 of the PDPA can continue to share that information for relevant purposes despite Part 5A of the FVP Act.</w:t>
      </w:r>
    </w:p>
    <w:p w14:paraId="04FCC871" w14:textId="77777777" w:rsidR="00DB2EF3" w:rsidRDefault="00DB2EF3" w:rsidP="00DB2EF3">
      <w:pPr>
        <w:pStyle w:val="SectionHeading2"/>
        <w:numPr>
          <w:ilvl w:val="0"/>
          <w:numId w:val="7"/>
        </w:numPr>
        <w:rPr>
          <w:rFonts w:cs="PostGrotesk-Book"/>
          <w:sz w:val="22"/>
          <w:szCs w:val="22"/>
          <w:lang w:val="en-US"/>
        </w:rPr>
      </w:pPr>
      <w:bookmarkStart w:id="6" w:name="_Toc506975206"/>
      <w:r w:rsidRPr="00DB2EF3">
        <w:rPr>
          <w:rFonts w:cs="PostGrotesk-Book"/>
          <w:sz w:val="22"/>
          <w:szCs w:val="22"/>
          <w:lang w:val="en-US"/>
        </w:rPr>
        <w:t>Do the Information Privacy Principles and Health Privacy Principles still apply?</w:t>
      </w:r>
      <w:bookmarkEnd w:id="6"/>
      <w:r w:rsidRPr="00DB2EF3">
        <w:rPr>
          <w:rFonts w:cs="PostGrotesk-Book"/>
          <w:sz w:val="22"/>
          <w:szCs w:val="22"/>
          <w:lang w:val="en-US"/>
        </w:rPr>
        <w:t xml:space="preserve"> </w:t>
      </w:r>
    </w:p>
    <w:p w14:paraId="70A24820" w14:textId="77777777" w:rsidR="00DB2EF3" w:rsidRPr="00303C14" w:rsidRDefault="00DB2EF3" w:rsidP="00FA6F27">
      <w:pPr>
        <w:pStyle w:val="Body"/>
        <w:widowControl/>
        <w:rPr>
          <w:lang w:val="en-AU"/>
        </w:rPr>
      </w:pPr>
      <w:r w:rsidRPr="00303C14">
        <w:rPr>
          <w:lang w:val="en-AU"/>
        </w:rPr>
        <w:t xml:space="preserve">Yes. The scheme only provides for the above exceptions or modifications from the </w:t>
      </w:r>
      <w:r>
        <w:rPr>
          <w:lang w:val="en-AU"/>
        </w:rPr>
        <w:t>IPPs</w:t>
      </w:r>
      <w:r w:rsidRPr="00303C14">
        <w:rPr>
          <w:lang w:val="en-AU"/>
        </w:rPr>
        <w:t xml:space="preserve"> and </w:t>
      </w:r>
      <w:r>
        <w:rPr>
          <w:lang w:val="en-AU"/>
        </w:rPr>
        <w:t>HPPs</w:t>
      </w:r>
      <w:r w:rsidRPr="00303C14">
        <w:rPr>
          <w:lang w:val="en-AU"/>
        </w:rPr>
        <w:t xml:space="preserve">. Practitioners should always have regard to their existing obligations under their enabling </w:t>
      </w:r>
      <w:r w:rsidRPr="00303C14">
        <w:rPr>
          <w:lang w:val="en-AU"/>
        </w:rPr>
        <w:lastRenderedPageBreak/>
        <w:t>l</w:t>
      </w:r>
      <w:r>
        <w:rPr>
          <w:lang w:val="en-AU"/>
        </w:rPr>
        <w:t>egislation and the PDPA and HRA</w:t>
      </w:r>
      <w:r w:rsidRPr="00303C14">
        <w:rPr>
          <w:lang w:val="en-AU"/>
        </w:rPr>
        <w:t xml:space="preserve"> when sharing information under the scheme and beyond a family violence context. </w:t>
      </w:r>
    </w:p>
    <w:p w14:paraId="1CB5F2DB" w14:textId="77777777" w:rsidR="00DB2EF3" w:rsidRPr="004C6971" w:rsidRDefault="00DB2EF3" w:rsidP="00DB2EF3">
      <w:pPr>
        <w:pStyle w:val="SectionHeading2"/>
        <w:numPr>
          <w:ilvl w:val="0"/>
          <w:numId w:val="7"/>
        </w:numPr>
        <w:rPr>
          <w:sz w:val="22"/>
          <w:szCs w:val="22"/>
          <w:lang w:val="en-US"/>
        </w:rPr>
      </w:pPr>
      <w:bookmarkStart w:id="7" w:name="_Toc506975207"/>
      <w:r w:rsidRPr="004C6971">
        <w:rPr>
          <w:sz w:val="22"/>
          <w:szCs w:val="22"/>
          <w:lang w:val="en-US"/>
        </w:rPr>
        <w:t>What are the amendments to the PDPA and HRA?</w:t>
      </w:r>
      <w:bookmarkEnd w:id="7"/>
      <w:r w:rsidRPr="004C6971">
        <w:rPr>
          <w:sz w:val="22"/>
          <w:szCs w:val="22"/>
          <w:lang w:val="en-US"/>
        </w:rPr>
        <w:t xml:space="preserve">  </w:t>
      </w:r>
    </w:p>
    <w:p w14:paraId="0B327F86" w14:textId="77777777" w:rsidR="00DB2EF3" w:rsidRPr="00DB2EF3" w:rsidRDefault="00DB2EF3" w:rsidP="0095638A">
      <w:pPr>
        <w:pStyle w:val="Body"/>
        <w:spacing w:after="120"/>
      </w:pPr>
      <w:r w:rsidRPr="00DB2EF3">
        <w:t>Legislative reforms remove the word ‘imminent’ from the ‘serious and imminent threat’ exception where it features in a number of the IPPs and HPPs:</w:t>
      </w:r>
    </w:p>
    <w:p w14:paraId="2B52E17E" w14:textId="77777777" w:rsidR="00DB2EF3" w:rsidRPr="00DB2EF3" w:rsidRDefault="00DB2EF3" w:rsidP="0095638A">
      <w:pPr>
        <w:pStyle w:val="Body"/>
        <w:numPr>
          <w:ilvl w:val="0"/>
          <w:numId w:val="9"/>
        </w:numPr>
        <w:spacing w:after="120"/>
        <w:ind w:left="284" w:hanging="284"/>
        <w:rPr>
          <w:lang w:val="en-US"/>
        </w:rPr>
      </w:pPr>
      <w:r w:rsidRPr="00DB2EF3">
        <w:rPr>
          <w:lang w:val="en-US"/>
        </w:rPr>
        <w:t>IPP 2.1(d)(</w:t>
      </w:r>
      <w:proofErr w:type="spellStart"/>
      <w:r w:rsidRPr="00DB2EF3">
        <w:rPr>
          <w:lang w:val="en-US"/>
        </w:rPr>
        <w:t>i</w:t>
      </w:r>
      <w:proofErr w:type="spellEnd"/>
      <w:r w:rsidRPr="00DB2EF3">
        <w:rPr>
          <w:lang w:val="en-US"/>
        </w:rPr>
        <w:t>) permits the use or disclosure of personal information for a secondary purpose where an organisation</w:t>
      </w:r>
      <w:r w:rsidRPr="00DB2EF3">
        <w:rPr>
          <w:vertAlign w:val="superscript"/>
          <w:lang w:val="en-US"/>
        </w:rPr>
        <w:footnoteReference w:id="7"/>
      </w:r>
      <w:r w:rsidRPr="00DB2EF3">
        <w:rPr>
          <w:lang w:val="en-US"/>
        </w:rPr>
        <w:t xml:space="preserve"> reasonably believes the use or disclosure is necessary to lessen or prevent a serious threat to an individual's life, health, safety or welfare.</w:t>
      </w:r>
    </w:p>
    <w:p w14:paraId="25A15FE3" w14:textId="77777777" w:rsidR="00DB2EF3" w:rsidRPr="00DB2EF3" w:rsidRDefault="00DB2EF3" w:rsidP="0095638A">
      <w:pPr>
        <w:pStyle w:val="Body"/>
        <w:numPr>
          <w:ilvl w:val="0"/>
          <w:numId w:val="9"/>
        </w:numPr>
        <w:spacing w:after="120"/>
        <w:ind w:left="284" w:hanging="284"/>
        <w:rPr>
          <w:lang w:val="en-US"/>
        </w:rPr>
      </w:pPr>
      <w:r w:rsidRPr="00DB2EF3">
        <w:rPr>
          <w:lang w:val="en-US"/>
        </w:rPr>
        <w:t>IPP 6.1(a) states that an organisation is not required to provide an individual with access to their personal information where providing access would pose a serious threat to the life or health of any individual.</w:t>
      </w:r>
    </w:p>
    <w:p w14:paraId="3AE85B63" w14:textId="77777777" w:rsidR="00DB2EF3" w:rsidRPr="00DB2EF3" w:rsidRDefault="00DB2EF3" w:rsidP="0095638A">
      <w:pPr>
        <w:pStyle w:val="Body"/>
        <w:numPr>
          <w:ilvl w:val="0"/>
          <w:numId w:val="9"/>
        </w:numPr>
        <w:spacing w:after="120"/>
        <w:ind w:left="284" w:hanging="284"/>
        <w:rPr>
          <w:lang w:val="en-US"/>
        </w:rPr>
      </w:pPr>
      <w:r w:rsidRPr="00DB2EF3">
        <w:rPr>
          <w:lang w:val="en-US"/>
        </w:rPr>
        <w:t xml:space="preserve">IPP 10.1(c) </w:t>
      </w:r>
      <w:r w:rsidRPr="00DB2EF3">
        <w:t>permits</w:t>
      </w:r>
      <w:r w:rsidRPr="00DB2EF3">
        <w:rPr>
          <w:lang w:val="en-US"/>
        </w:rPr>
        <w:t xml:space="preserve"> an organisation to collect sensitive information where the collection is necessary to prevent or lessen a serious threat to the life or health of any individual, and the individual whom the information is about is physically or legally incapable of consenting to the collection.</w:t>
      </w:r>
    </w:p>
    <w:p w14:paraId="7F06A939" w14:textId="77777777" w:rsidR="00DB2EF3" w:rsidRPr="00DB2EF3" w:rsidRDefault="00DB2EF3" w:rsidP="0095638A">
      <w:pPr>
        <w:pStyle w:val="Body"/>
        <w:numPr>
          <w:ilvl w:val="0"/>
          <w:numId w:val="9"/>
        </w:numPr>
        <w:spacing w:after="120"/>
        <w:ind w:left="284" w:hanging="284"/>
        <w:rPr>
          <w:lang w:val="en-US"/>
        </w:rPr>
      </w:pPr>
      <w:r w:rsidRPr="00DB2EF3">
        <w:rPr>
          <w:lang w:val="en-US"/>
        </w:rPr>
        <w:t>HPP 1.1(f)(</w:t>
      </w:r>
      <w:proofErr w:type="spellStart"/>
      <w:r w:rsidRPr="00DB2EF3">
        <w:rPr>
          <w:lang w:val="en-US"/>
        </w:rPr>
        <w:t>i</w:t>
      </w:r>
      <w:proofErr w:type="spellEnd"/>
      <w:r w:rsidRPr="00DB2EF3">
        <w:rPr>
          <w:lang w:val="en-US"/>
        </w:rPr>
        <w:t>) permits the collection of health information in the absence of consent where the collection is necessary to prevent or lessen a serious threat to the life, health, safety or welfare of any individual.</w:t>
      </w:r>
    </w:p>
    <w:p w14:paraId="3D96DBC1" w14:textId="77777777" w:rsidR="00DB2EF3" w:rsidRPr="00DB2EF3" w:rsidRDefault="00DB2EF3" w:rsidP="00FA6F27">
      <w:pPr>
        <w:pStyle w:val="Body"/>
        <w:widowControl/>
        <w:numPr>
          <w:ilvl w:val="0"/>
          <w:numId w:val="9"/>
        </w:numPr>
        <w:ind w:left="284" w:hanging="284"/>
        <w:rPr>
          <w:lang w:val="en-US"/>
        </w:rPr>
      </w:pPr>
      <w:r w:rsidRPr="00DB2EF3">
        <w:rPr>
          <w:lang w:val="en-US"/>
        </w:rPr>
        <w:t>HPP 2.2(h)(</w:t>
      </w:r>
      <w:proofErr w:type="spellStart"/>
      <w:r w:rsidRPr="00DB2EF3">
        <w:rPr>
          <w:lang w:val="en-US"/>
        </w:rPr>
        <w:t>i</w:t>
      </w:r>
      <w:proofErr w:type="spellEnd"/>
      <w:r w:rsidRPr="00DB2EF3">
        <w:rPr>
          <w:lang w:val="en-US"/>
        </w:rPr>
        <w:t>) permits the use or disclosure of health information for a secondary purpose in the absence of consent where an organisation</w:t>
      </w:r>
      <w:r w:rsidRPr="00DB2EF3">
        <w:rPr>
          <w:vertAlign w:val="superscript"/>
          <w:lang w:val="en-US"/>
        </w:rPr>
        <w:footnoteReference w:id="8"/>
      </w:r>
      <w:r w:rsidRPr="00DB2EF3">
        <w:rPr>
          <w:lang w:val="en-US"/>
        </w:rPr>
        <w:t> reasonably believes that the use or disclosure is necessary to lessen or prevent a serious threat to an individual's life, health, safety or welfare.</w:t>
      </w:r>
    </w:p>
    <w:p w14:paraId="5F795241" w14:textId="0BE7F1D5" w:rsidR="00DB2EF3" w:rsidRDefault="00DB2EF3" w:rsidP="00DB2EF3">
      <w:pPr>
        <w:pStyle w:val="Body"/>
      </w:pPr>
      <w:r w:rsidRPr="00DB2EF3">
        <w:lastRenderedPageBreak/>
        <w:t xml:space="preserve">The previous requirement that a threat be ‘imminent’ as well as ‘serious’ before information could be shared or released set </w:t>
      </w:r>
      <w:r w:rsidR="007C0712">
        <w:t>a</w:t>
      </w:r>
      <w:r w:rsidRPr="00DB2EF3">
        <w:t xml:space="preserve"> high</w:t>
      </w:r>
      <w:r w:rsidR="007C0712">
        <w:t>er</w:t>
      </w:r>
      <w:r w:rsidRPr="00DB2EF3">
        <w:t xml:space="preserve"> threshold that was difficult for practitioners to interpret and establish. This amendment applies to the </w:t>
      </w:r>
      <w:r w:rsidR="00A91F2D">
        <w:t xml:space="preserve">above </w:t>
      </w:r>
      <w:r w:rsidRPr="00DB2EF3">
        <w:t xml:space="preserve">IPPs </w:t>
      </w:r>
      <w:r w:rsidR="00A91F2D">
        <w:t xml:space="preserve">and HPPs </w:t>
      </w:r>
      <w:r w:rsidRPr="00DB2EF3">
        <w:t>and is not specific to the family violence context. The Office of the Victorian Information Commissioner (</w:t>
      </w:r>
      <w:r w:rsidRPr="007C0712">
        <w:rPr>
          <w:b/>
        </w:rPr>
        <w:t>OVIC</w:t>
      </w:r>
      <w:r w:rsidRPr="00DB2EF3">
        <w:t>) and Health Complaints Commissioner (</w:t>
      </w:r>
      <w:r w:rsidRPr="007C0712">
        <w:rPr>
          <w:b/>
        </w:rPr>
        <w:t>HCC</w:t>
      </w:r>
      <w:r w:rsidRPr="00DB2EF3">
        <w:t>) have co-published guidance on the removal of ‘imminent’ from the IPPs and HPPs, available on their respective websites.</w:t>
      </w:r>
    </w:p>
    <w:p w14:paraId="4C556AF8" w14:textId="77777777" w:rsidR="00DB2EF3" w:rsidRPr="00DB2EF3" w:rsidRDefault="00DB2EF3" w:rsidP="00DB2EF3">
      <w:pPr>
        <w:pStyle w:val="SectionHeading2"/>
        <w:numPr>
          <w:ilvl w:val="0"/>
          <w:numId w:val="7"/>
        </w:numPr>
        <w:rPr>
          <w:rFonts w:cs="PostGrotesk-Book"/>
          <w:sz w:val="22"/>
          <w:szCs w:val="22"/>
          <w:lang w:val="en-US"/>
        </w:rPr>
      </w:pPr>
      <w:bookmarkStart w:id="8" w:name="_Toc506975208"/>
      <w:r w:rsidRPr="00DB2EF3">
        <w:rPr>
          <w:rFonts w:cs="PostGrotesk-Book"/>
          <w:sz w:val="22"/>
          <w:szCs w:val="22"/>
          <w:lang w:val="en-US"/>
        </w:rPr>
        <w:t xml:space="preserve">How </w:t>
      </w:r>
      <w:r w:rsidRPr="00DB2EF3">
        <w:rPr>
          <w:sz w:val="22"/>
          <w:szCs w:val="22"/>
          <w:lang w:val="en-US"/>
        </w:rPr>
        <w:t>does</w:t>
      </w:r>
      <w:r w:rsidRPr="00DB2EF3">
        <w:rPr>
          <w:rFonts w:cs="PostGrotesk-Book"/>
          <w:sz w:val="22"/>
          <w:szCs w:val="22"/>
          <w:lang w:val="en-US"/>
        </w:rPr>
        <w:t xml:space="preserve"> the scheme modify the application of the IPPs and the HPPs?</w:t>
      </w:r>
      <w:bookmarkEnd w:id="8"/>
      <w:r w:rsidRPr="00DB2EF3">
        <w:rPr>
          <w:rFonts w:cs="PostGrotesk-Book"/>
          <w:sz w:val="22"/>
          <w:szCs w:val="22"/>
          <w:lang w:val="en-US"/>
        </w:rPr>
        <w:t xml:space="preserve"> </w:t>
      </w:r>
    </w:p>
    <w:p w14:paraId="03F58064" w14:textId="77777777" w:rsidR="00DB2EF3" w:rsidRPr="00DB2EF3" w:rsidRDefault="00DB2EF3" w:rsidP="0095638A">
      <w:pPr>
        <w:pStyle w:val="Body"/>
        <w:spacing w:after="120"/>
      </w:pPr>
      <w:r w:rsidRPr="00DB2EF3">
        <w:t>The Amending Act provides a number of exceptions or modifications to the IPPs and the HPPs:</w:t>
      </w:r>
    </w:p>
    <w:p w14:paraId="7C4B3D10" w14:textId="22398CBF" w:rsidR="00DB2EF3" w:rsidRPr="00DB2EF3" w:rsidRDefault="00DB2EF3" w:rsidP="0095638A">
      <w:pPr>
        <w:pStyle w:val="Body"/>
        <w:numPr>
          <w:ilvl w:val="0"/>
          <w:numId w:val="9"/>
        </w:numPr>
        <w:spacing w:after="120"/>
        <w:ind w:left="284" w:hanging="284"/>
        <w:rPr>
          <w:lang w:val="en-US"/>
        </w:rPr>
      </w:pPr>
      <w:r w:rsidRPr="00DB2EF3">
        <w:rPr>
          <w:b/>
          <w:lang w:val="en-US"/>
        </w:rPr>
        <w:t xml:space="preserve">Information Sharing Entities </w:t>
      </w:r>
      <w:r w:rsidRPr="00DB2EF3">
        <w:rPr>
          <w:lang w:val="en-US"/>
        </w:rPr>
        <w:t xml:space="preserve">(ISEs) and the </w:t>
      </w:r>
      <w:r w:rsidRPr="00DB2EF3">
        <w:rPr>
          <w:b/>
          <w:lang w:val="en-US"/>
        </w:rPr>
        <w:t>Central Information Point</w:t>
      </w:r>
      <w:r w:rsidRPr="00DB2EF3">
        <w:rPr>
          <w:lang w:val="en-US"/>
        </w:rPr>
        <w:t xml:space="preserve"> (</w:t>
      </w:r>
      <w:r w:rsidRPr="007C0712">
        <w:rPr>
          <w:b/>
          <w:lang w:val="en-US"/>
        </w:rPr>
        <w:t>CIP</w:t>
      </w:r>
      <w:r w:rsidRPr="00DB2EF3">
        <w:rPr>
          <w:lang w:val="en-US"/>
        </w:rPr>
        <w:t>)</w:t>
      </w:r>
      <w:r w:rsidRPr="00DB2EF3">
        <w:rPr>
          <w:vertAlign w:val="superscript"/>
          <w:lang w:val="en-US"/>
        </w:rPr>
        <w:footnoteReference w:id="9"/>
      </w:r>
      <w:r w:rsidRPr="00DB2EF3">
        <w:rPr>
          <w:lang w:val="en-US"/>
        </w:rPr>
        <w:t xml:space="preserve"> are exempt from complying with </w:t>
      </w:r>
      <w:r w:rsidRPr="00DB2EF3">
        <w:rPr>
          <w:b/>
          <w:lang w:val="en-US"/>
        </w:rPr>
        <w:t>IPPs 1.4 and 1.5</w:t>
      </w:r>
      <w:r w:rsidRPr="00DB2EF3">
        <w:rPr>
          <w:vertAlign w:val="superscript"/>
          <w:lang w:val="en-US"/>
        </w:rPr>
        <w:footnoteReference w:id="10"/>
      </w:r>
      <w:r w:rsidRPr="00DB2EF3">
        <w:rPr>
          <w:b/>
          <w:lang w:val="en-US"/>
        </w:rPr>
        <w:t xml:space="preserve"> </w:t>
      </w:r>
      <w:r w:rsidRPr="00DB2EF3">
        <w:rPr>
          <w:lang w:val="en-US"/>
        </w:rPr>
        <w:t xml:space="preserve">when collecting or sharing information about perpetrators (including alleged perpetrators), and concurrently from </w:t>
      </w:r>
      <w:r w:rsidRPr="00DB2EF3">
        <w:rPr>
          <w:b/>
          <w:lang w:val="en-US"/>
        </w:rPr>
        <w:t>HPPs 1.3 and 1.5</w:t>
      </w:r>
      <w:r w:rsidRPr="00DB2EF3">
        <w:rPr>
          <w:lang w:val="en-US"/>
        </w:rPr>
        <w:t>.</w:t>
      </w:r>
      <w:r w:rsidRPr="00DB2EF3">
        <w:rPr>
          <w:vertAlign w:val="superscript"/>
          <w:lang w:val="en-US"/>
        </w:rPr>
        <w:footnoteReference w:id="11"/>
      </w:r>
      <w:r w:rsidRPr="00DB2EF3">
        <w:rPr>
          <w:b/>
          <w:lang w:val="en-US"/>
        </w:rPr>
        <w:t xml:space="preserve"> </w:t>
      </w:r>
      <w:r w:rsidRPr="00DB2EF3">
        <w:rPr>
          <w:lang w:val="en-US"/>
        </w:rPr>
        <w:t>The purpose of these exceptions is to ensure that ISEs are not required to collect personal information directly from a perpetrator</w:t>
      </w:r>
      <w:r w:rsidR="000856C2">
        <w:rPr>
          <w:lang w:val="en-US"/>
        </w:rPr>
        <w:t xml:space="preserve"> or alleged perpetrator</w:t>
      </w:r>
      <w:r w:rsidRPr="00DB2EF3">
        <w:rPr>
          <w:lang w:val="en-US"/>
        </w:rPr>
        <w:t>, nor provide notice of collection where information about a perpetrator</w:t>
      </w:r>
      <w:r w:rsidR="000856C2">
        <w:rPr>
          <w:lang w:val="en-US"/>
        </w:rPr>
        <w:t xml:space="preserve"> or alleged perpetrator</w:t>
      </w:r>
      <w:r w:rsidRPr="00DB2EF3">
        <w:rPr>
          <w:lang w:val="en-US"/>
        </w:rPr>
        <w:t xml:space="preserve"> has been collected from a third party. These changes </w:t>
      </w:r>
      <w:r w:rsidR="00301C19">
        <w:rPr>
          <w:lang w:val="en-US"/>
        </w:rPr>
        <w:t>recognis</w:t>
      </w:r>
      <w:r w:rsidR="00E97716" w:rsidRPr="00DB2EF3">
        <w:rPr>
          <w:lang w:val="en-US"/>
        </w:rPr>
        <w:t>e</w:t>
      </w:r>
      <w:r w:rsidRPr="00DB2EF3">
        <w:rPr>
          <w:lang w:val="en-US"/>
        </w:rPr>
        <w:t xml:space="preserve"> that it may not always be safe, reasonable or appropriate for practitioners to collect information directly from a perpetrator</w:t>
      </w:r>
      <w:r w:rsidR="000856C2">
        <w:rPr>
          <w:lang w:val="en-US"/>
        </w:rPr>
        <w:t xml:space="preserve"> or alleged perpetrator</w:t>
      </w:r>
      <w:r w:rsidRPr="00DB2EF3">
        <w:rPr>
          <w:lang w:val="en-US"/>
        </w:rPr>
        <w:t>, and that there may be safety risks involved with notifying these individuals that their information has been collected from another source.</w:t>
      </w:r>
    </w:p>
    <w:p w14:paraId="6D728C9D" w14:textId="77777777" w:rsidR="00DB2EF3" w:rsidRPr="00DB2EF3" w:rsidRDefault="00DB2EF3" w:rsidP="00C212D5">
      <w:pPr>
        <w:pStyle w:val="Body"/>
        <w:keepNext/>
        <w:widowControl/>
        <w:numPr>
          <w:ilvl w:val="0"/>
          <w:numId w:val="9"/>
        </w:numPr>
        <w:spacing w:after="120"/>
        <w:ind w:left="284" w:hanging="284"/>
        <w:rPr>
          <w:lang w:val="en-US"/>
        </w:rPr>
      </w:pPr>
      <w:r w:rsidRPr="00DB2EF3">
        <w:rPr>
          <w:lang w:val="en-US"/>
        </w:rPr>
        <w:lastRenderedPageBreak/>
        <w:t xml:space="preserve">The CIP is expressly exempt from </w:t>
      </w:r>
      <w:r w:rsidRPr="00DB2EF3">
        <w:rPr>
          <w:b/>
          <w:lang w:val="en-US"/>
        </w:rPr>
        <w:t>IPP 6 and HPP 6</w:t>
      </w:r>
      <w:r w:rsidRPr="00DB2EF3">
        <w:rPr>
          <w:lang w:val="en-US"/>
        </w:rPr>
        <w:t>,</w:t>
      </w:r>
      <w:r w:rsidRPr="00DB2EF3">
        <w:rPr>
          <w:vertAlign w:val="superscript"/>
          <w:lang w:val="en-US"/>
        </w:rPr>
        <w:footnoteReference w:id="12"/>
      </w:r>
      <w:r w:rsidRPr="00DB2EF3">
        <w:rPr>
          <w:lang w:val="en-US"/>
        </w:rPr>
        <w:t xml:space="preserve"> meaning that the CIP is not required to provide access to or correct </w:t>
      </w:r>
      <w:r w:rsidRPr="0000794D">
        <w:rPr>
          <w:color w:val="595959" w:themeColor="text1" w:themeTint="A6"/>
          <w:lang w:val="en-US"/>
        </w:rPr>
        <w:t xml:space="preserve">personal </w:t>
      </w:r>
      <w:r w:rsidRPr="00DB2EF3">
        <w:rPr>
          <w:lang w:val="en-US"/>
        </w:rPr>
        <w:t xml:space="preserve">information and health information about an individual that the CIP has collected for the purposes of the new Part 5A of the FVP Act. The CIP is designed to act as a conduit for information held by other ISEs, who are better placed to determine whether a request for access or correction could pose a risk of harm to victim survivors. </w:t>
      </w:r>
    </w:p>
    <w:p w14:paraId="5E896256" w14:textId="77777777" w:rsidR="00DB2EF3" w:rsidRPr="00DB2EF3" w:rsidRDefault="00DB2EF3" w:rsidP="00DB2EF3">
      <w:pPr>
        <w:pStyle w:val="Body"/>
        <w:numPr>
          <w:ilvl w:val="0"/>
          <w:numId w:val="9"/>
        </w:numPr>
        <w:ind w:left="284" w:hanging="284"/>
        <w:rPr>
          <w:lang w:val="en-US"/>
        </w:rPr>
      </w:pPr>
      <w:r w:rsidRPr="00DB2EF3">
        <w:rPr>
          <w:lang w:val="en-US"/>
        </w:rPr>
        <w:t xml:space="preserve">An ISE may refuse access to information under </w:t>
      </w:r>
      <w:r w:rsidRPr="00DB2EF3">
        <w:rPr>
          <w:b/>
          <w:lang w:val="en-US"/>
        </w:rPr>
        <w:t xml:space="preserve">IPP 6 or HPP 6 </w:t>
      </w:r>
      <w:r w:rsidRPr="00DB2EF3">
        <w:rPr>
          <w:lang w:val="en-US"/>
        </w:rPr>
        <w:t>where a family violence risk has been established, if the individual making the request is a perpetrator or alleged perpetrator.</w:t>
      </w:r>
      <w:r w:rsidRPr="00DB2EF3">
        <w:rPr>
          <w:vertAlign w:val="superscript"/>
          <w:lang w:val="en-US"/>
        </w:rPr>
        <w:footnoteReference w:id="13"/>
      </w:r>
      <w:r w:rsidRPr="00DB2EF3">
        <w:rPr>
          <w:lang w:val="en-US"/>
        </w:rPr>
        <w:t xml:space="preserve"> This change provides ISEs with a greater ability to ensure that victim survivors are not unduly exposed to increased risk by way of perpetrators accessing information about them.</w:t>
      </w:r>
      <w:r w:rsidRPr="00DB2EF3">
        <w:rPr>
          <w:vertAlign w:val="superscript"/>
          <w:lang w:val="en-US"/>
        </w:rPr>
        <w:footnoteReference w:id="14"/>
      </w:r>
      <w:r w:rsidRPr="00DB2EF3">
        <w:rPr>
          <w:lang w:val="en-US"/>
        </w:rPr>
        <w:t xml:space="preserve"> </w:t>
      </w:r>
    </w:p>
    <w:p w14:paraId="578E6E75" w14:textId="77777777" w:rsidR="00DB2EF3" w:rsidRPr="00DB2EF3" w:rsidRDefault="00DB2EF3" w:rsidP="00FA6F27">
      <w:pPr>
        <w:pStyle w:val="Body"/>
        <w:widowControl/>
        <w:rPr>
          <w:lang w:val="en-US"/>
        </w:rPr>
      </w:pPr>
      <w:r w:rsidRPr="00DB2EF3">
        <w:rPr>
          <w:lang w:val="en-AU"/>
        </w:rPr>
        <w:t xml:space="preserve">In addition to the above exceptions from the IPPs under the scheme, the </w:t>
      </w:r>
      <w:r w:rsidRPr="00DB2EF3">
        <w:rPr>
          <w:i/>
        </w:rPr>
        <w:t>Victorian Data Sharing Act 2017</w:t>
      </w:r>
      <w:r w:rsidRPr="00DB2EF3">
        <w:t xml:space="preserve"> makes an amendment to </w:t>
      </w:r>
      <w:r w:rsidRPr="00DB2EF3">
        <w:rPr>
          <w:b/>
        </w:rPr>
        <w:t>IPP 10.1(b)</w:t>
      </w:r>
      <w:r w:rsidRPr="00DB2EF3">
        <w:t xml:space="preserve">, which allows entities to collect sensitive information where either authorised or required by law. In the context of family violence information sharing, this means that ISEs are not required to obtain consent from a perpetrator or alleged perpetrator before collecting sensitive information about them (such as criminal record information). ISEs are also not required to gain consent from any person before collecting sensitive information about them in relation to a child victim survivor. </w:t>
      </w:r>
    </w:p>
    <w:p w14:paraId="0E3069F4" w14:textId="77777777" w:rsidR="00DB2EF3" w:rsidRPr="00DB2EF3" w:rsidRDefault="00DB2EF3" w:rsidP="003D2048">
      <w:pPr>
        <w:pStyle w:val="SectionHeading2"/>
        <w:keepNext/>
        <w:widowControl/>
        <w:numPr>
          <w:ilvl w:val="0"/>
          <w:numId w:val="7"/>
        </w:numPr>
        <w:rPr>
          <w:rFonts w:cs="PostGrotesk-Book"/>
          <w:sz w:val="22"/>
          <w:szCs w:val="22"/>
          <w:lang w:val="en-US"/>
        </w:rPr>
      </w:pPr>
      <w:bookmarkStart w:id="9" w:name="_Toc506975209"/>
      <w:r w:rsidRPr="00DB2EF3">
        <w:rPr>
          <w:sz w:val="22"/>
          <w:szCs w:val="22"/>
          <w:lang w:val="en-US"/>
        </w:rPr>
        <w:lastRenderedPageBreak/>
        <w:t>How</w:t>
      </w:r>
      <w:r w:rsidRPr="00DB2EF3">
        <w:rPr>
          <w:rFonts w:cs="PostGrotesk-Book"/>
          <w:sz w:val="22"/>
          <w:szCs w:val="22"/>
          <w:lang w:val="en-US"/>
        </w:rPr>
        <w:t xml:space="preserve"> does the scheme amend the </w:t>
      </w:r>
      <w:r w:rsidRPr="00DB2EF3">
        <w:rPr>
          <w:rFonts w:cs="PostGrotesk-Book"/>
          <w:i/>
          <w:sz w:val="22"/>
          <w:szCs w:val="22"/>
          <w:lang w:val="en-US"/>
        </w:rPr>
        <w:t xml:space="preserve">Freedom of Information Act 1982 </w:t>
      </w:r>
      <w:r w:rsidRPr="00DB2EF3">
        <w:rPr>
          <w:rFonts w:cs="PostGrotesk-Book"/>
          <w:sz w:val="22"/>
          <w:szCs w:val="22"/>
          <w:lang w:val="en-US"/>
        </w:rPr>
        <w:t>(Vic)?</w:t>
      </w:r>
      <w:bookmarkEnd w:id="9"/>
      <w:r w:rsidRPr="00DB2EF3">
        <w:rPr>
          <w:rFonts w:cs="PostGrotesk-Book"/>
          <w:sz w:val="22"/>
          <w:szCs w:val="22"/>
          <w:lang w:val="en-US"/>
        </w:rPr>
        <w:t xml:space="preserve"> </w:t>
      </w:r>
    </w:p>
    <w:p w14:paraId="725D7B3F" w14:textId="77777777" w:rsidR="006733D2" w:rsidRPr="00A209E9" w:rsidRDefault="006733D2" w:rsidP="003D2048">
      <w:pPr>
        <w:pStyle w:val="SectionHeading1"/>
        <w:keepNext/>
        <w:widowControl/>
        <w:outlineLvl w:val="0"/>
        <w:rPr>
          <w:i/>
          <w:color w:val="595959" w:themeColor="text1" w:themeTint="A6"/>
          <w:sz w:val="22"/>
          <w:szCs w:val="22"/>
          <w:lang w:val="en-US"/>
        </w:rPr>
      </w:pPr>
      <w:r w:rsidRPr="00A209E9">
        <w:rPr>
          <w:i/>
          <w:color w:val="595959" w:themeColor="text1" w:themeTint="A6"/>
          <w:sz w:val="22"/>
          <w:szCs w:val="22"/>
          <w:lang w:val="en-US"/>
        </w:rPr>
        <w:t>Access to personal affairs information</w:t>
      </w:r>
    </w:p>
    <w:p w14:paraId="074E1647" w14:textId="77777777" w:rsidR="006733D2" w:rsidRPr="0000794D" w:rsidRDefault="006733D2" w:rsidP="006733D2">
      <w:pPr>
        <w:pStyle w:val="SectionHeading1"/>
        <w:outlineLvl w:val="0"/>
        <w:rPr>
          <w:color w:val="595959" w:themeColor="text1" w:themeTint="A6"/>
          <w:sz w:val="22"/>
          <w:szCs w:val="22"/>
          <w:lang w:val="en-US"/>
        </w:rPr>
      </w:pPr>
      <w:r w:rsidRPr="0000794D">
        <w:rPr>
          <w:color w:val="595959" w:themeColor="text1" w:themeTint="A6"/>
          <w:sz w:val="22"/>
          <w:szCs w:val="22"/>
          <w:lang w:val="en-US"/>
        </w:rPr>
        <w:t xml:space="preserve">Section 33 of the </w:t>
      </w:r>
      <w:r w:rsidRPr="0000794D">
        <w:rPr>
          <w:i/>
          <w:color w:val="595959" w:themeColor="text1" w:themeTint="A6"/>
          <w:sz w:val="22"/>
          <w:szCs w:val="22"/>
          <w:lang w:val="en-US"/>
        </w:rPr>
        <w:t xml:space="preserve">Freedom of Information Act 1982 </w:t>
      </w:r>
      <w:r w:rsidRPr="0000794D">
        <w:rPr>
          <w:color w:val="595959" w:themeColor="text1" w:themeTint="A6"/>
          <w:sz w:val="22"/>
          <w:szCs w:val="22"/>
          <w:lang w:val="en-US"/>
        </w:rPr>
        <w:t>(Vic) (</w:t>
      </w:r>
      <w:r w:rsidRPr="007C0712">
        <w:rPr>
          <w:b/>
          <w:color w:val="595959" w:themeColor="text1" w:themeTint="A6"/>
          <w:sz w:val="22"/>
          <w:szCs w:val="22"/>
          <w:lang w:val="en-US"/>
        </w:rPr>
        <w:t>FOI Act</w:t>
      </w:r>
      <w:r w:rsidRPr="0000794D">
        <w:rPr>
          <w:color w:val="595959" w:themeColor="text1" w:themeTint="A6"/>
          <w:sz w:val="22"/>
          <w:szCs w:val="22"/>
          <w:lang w:val="en-US"/>
        </w:rPr>
        <w:t xml:space="preserve">) deals with access to documents containing personal affairs information where disclosure of the information would not involve unreasonable disclosure.  </w:t>
      </w:r>
    </w:p>
    <w:p w14:paraId="59B954F8" w14:textId="77777777" w:rsidR="006733D2" w:rsidRPr="0000794D" w:rsidRDefault="006733D2" w:rsidP="006733D2">
      <w:pPr>
        <w:pStyle w:val="SectionHeading1"/>
        <w:outlineLvl w:val="0"/>
        <w:rPr>
          <w:color w:val="595959" w:themeColor="text1" w:themeTint="A6"/>
          <w:sz w:val="22"/>
          <w:szCs w:val="22"/>
          <w:lang w:val="en-US"/>
        </w:rPr>
      </w:pPr>
      <w:r w:rsidRPr="0000794D">
        <w:rPr>
          <w:color w:val="595959" w:themeColor="text1" w:themeTint="A6"/>
          <w:sz w:val="22"/>
          <w:szCs w:val="22"/>
          <w:lang w:val="en-US"/>
        </w:rPr>
        <w:t>Section 33(2) provides that an exception to the ‘unreasonable disclosure’ test when the request for access is made by a person who seeks access to a document containing their personal affairs information. Generally speaking, this means that an individual will be granted access to a document containing their personal affairs information, subject to an exception relating to health information.</w:t>
      </w:r>
      <w:r w:rsidRPr="0000794D">
        <w:rPr>
          <w:rStyle w:val="FootnoteReference"/>
          <w:color w:val="595959" w:themeColor="text1" w:themeTint="A6"/>
          <w:sz w:val="22"/>
          <w:szCs w:val="22"/>
          <w:lang w:val="en-US"/>
        </w:rPr>
        <w:footnoteReference w:id="15"/>
      </w:r>
    </w:p>
    <w:p w14:paraId="35FD8A42" w14:textId="77777777" w:rsidR="006733D2" w:rsidRPr="0000794D" w:rsidRDefault="006733D2" w:rsidP="006733D2">
      <w:pPr>
        <w:pStyle w:val="SectionHeading1"/>
        <w:outlineLvl w:val="0"/>
        <w:rPr>
          <w:color w:val="595959" w:themeColor="text1" w:themeTint="A6"/>
          <w:sz w:val="22"/>
          <w:szCs w:val="22"/>
          <w:lang w:val="en-US"/>
        </w:rPr>
      </w:pPr>
      <w:r w:rsidRPr="0000794D">
        <w:rPr>
          <w:color w:val="595959" w:themeColor="text1" w:themeTint="A6"/>
          <w:sz w:val="22"/>
          <w:szCs w:val="22"/>
          <w:lang w:val="en-US"/>
        </w:rPr>
        <w:t>The Amending Act alters s 33(2) by inserting a new sub-section 33(2AB) which requires that:</w:t>
      </w:r>
    </w:p>
    <w:p w14:paraId="5AADC97C" w14:textId="77777777" w:rsidR="006733D2" w:rsidRPr="0000794D" w:rsidRDefault="00F62A3C" w:rsidP="006733D2">
      <w:pPr>
        <w:pStyle w:val="SectionHeading1"/>
        <w:numPr>
          <w:ilvl w:val="0"/>
          <w:numId w:val="19"/>
        </w:numPr>
        <w:outlineLvl w:val="0"/>
        <w:rPr>
          <w:color w:val="595959" w:themeColor="text1" w:themeTint="A6"/>
          <w:sz w:val="22"/>
          <w:szCs w:val="22"/>
          <w:lang w:val="en-US"/>
        </w:rPr>
      </w:pPr>
      <w:r>
        <w:rPr>
          <w:color w:val="595959" w:themeColor="text1" w:themeTint="A6"/>
          <w:sz w:val="22"/>
          <w:szCs w:val="22"/>
          <w:lang w:val="en-US"/>
        </w:rPr>
        <w:t>when an ISE</w:t>
      </w:r>
      <w:r w:rsidR="006733D2" w:rsidRPr="0000794D">
        <w:rPr>
          <w:color w:val="595959" w:themeColor="text1" w:themeTint="A6"/>
          <w:sz w:val="22"/>
          <w:szCs w:val="22"/>
          <w:lang w:val="en-US"/>
        </w:rPr>
        <w:t xml:space="preserve"> or </w:t>
      </w:r>
      <w:r>
        <w:rPr>
          <w:color w:val="595959" w:themeColor="text1" w:themeTint="A6"/>
          <w:sz w:val="22"/>
          <w:szCs w:val="22"/>
          <w:lang w:val="en-US"/>
        </w:rPr>
        <w:t>a</w:t>
      </w:r>
      <w:r w:rsidR="006733D2" w:rsidRPr="0000794D">
        <w:rPr>
          <w:color w:val="595959" w:themeColor="text1" w:themeTint="A6"/>
          <w:sz w:val="22"/>
          <w:szCs w:val="22"/>
          <w:lang w:val="en-US"/>
        </w:rPr>
        <w:t xml:space="preserve"> Minister receives a request from a person who is a perpetrator or an alleged perpetrator of family violence (the applicant); and</w:t>
      </w:r>
    </w:p>
    <w:p w14:paraId="58178D23" w14:textId="77777777" w:rsidR="006733D2" w:rsidRPr="0000794D" w:rsidRDefault="006733D2" w:rsidP="006733D2">
      <w:pPr>
        <w:pStyle w:val="SectionHeading1"/>
        <w:numPr>
          <w:ilvl w:val="0"/>
          <w:numId w:val="19"/>
        </w:numPr>
        <w:outlineLvl w:val="0"/>
        <w:rPr>
          <w:color w:val="595959" w:themeColor="text1" w:themeTint="A6"/>
          <w:sz w:val="22"/>
          <w:szCs w:val="22"/>
          <w:lang w:val="en-US"/>
        </w:rPr>
      </w:pPr>
      <w:r w:rsidRPr="0000794D">
        <w:rPr>
          <w:color w:val="595959" w:themeColor="text1" w:themeTint="A6"/>
          <w:sz w:val="22"/>
          <w:szCs w:val="22"/>
          <w:lang w:val="en-US"/>
        </w:rPr>
        <w:t>the applicant is seeking access to documents containing their personal information; and</w:t>
      </w:r>
    </w:p>
    <w:p w14:paraId="1A8E518E" w14:textId="77777777" w:rsidR="006733D2" w:rsidRPr="0000794D" w:rsidRDefault="006733D2" w:rsidP="006733D2">
      <w:pPr>
        <w:pStyle w:val="SectionHeading1"/>
        <w:numPr>
          <w:ilvl w:val="0"/>
          <w:numId w:val="19"/>
        </w:numPr>
        <w:outlineLvl w:val="0"/>
        <w:rPr>
          <w:color w:val="595959" w:themeColor="text1" w:themeTint="A6"/>
          <w:sz w:val="22"/>
          <w:szCs w:val="22"/>
          <w:lang w:val="en-US"/>
        </w:rPr>
      </w:pPr>
      <w:r w:rsidRPr="0000794D">
        <w:rPr>
          <w:color w:val="595959" w:themeColor="text1" w:themeTint="A6"/>
          <w:sz w:val="22"/>
          <w:szCs w:val="22"/>
          <w:lang w:val="en-US"/>
        </w:rPr>
        <w:t>when the agency or Minister is determining whether disclosure of the applicant’s personal affairs would involve the unreasonable disclosure of information relating to the personal affairs of any person, the agency or Minister must also take into account whether the disclosure would increase the risk to a primary person's safety from family violence.</w:t>
      </w:r>
      <w:r w:rsidRPr="0000794D">
        <w:rPr>
          <w:color w:val="595959" w:themeColor="text1" w:themeTint="A6"/>
          <w:sz w:val="22"/>
          <w:szCs w:val="22"/>
          <w:vertAlign w:val="superscript"/>
          <w:lang w:val="en-US"/>
        </w:rPr>
        <w:footnoteReference w:id="16"/>
      </w:r>
    </w:p>
    <w:p w14:paraId="60DB8642" w14:textId="77777777" w:rsidR="006733D2" w:rsidRPr="00A209E9" w:rsidRDefault="006733D2" w:rsidP="001064BA">
      <w:pPr>
        <w:pStyle w:val="SectionHeading1"/>
        <w:keepNext/>
        <w:widowControl/>
        <w:outlineLvl w:val="0"/>
        <w:rPr>
          <w:i/>
          <w:color w:val="595959" w:themeColor="text1" w:themeTint="A6"/>
          <w:sz w:val="22"/>
          <w:szCs w:val="22"/>
          <w:lang w:val="en-US"/>
        </w:rPr>
      </w:pPr>
      <w:r w:rsidRPr="00A209E9">
        <w:rPr>
          <w:i/>
          <w:color w:val="595959" w:themeColor="text1" w:themeTint="A6"/>
          <w:sz w:val="22"/>
          <w:szCs w:val="22"/>
          <w:lang w:val="en-US"/>
        </w:rPr>
        <w:lastRenderedPageBreak/>
        <w:t xml:space="preserve">Neither confirming or denying the existence of a document </w:t>
      </w:r>
    </w:p>
    <w:p w14:paraId="60BA6B5D" w14:textId="77777777" w:rsidR="006733D2" w:rsidRPr="0000794D" w:rsidRDefault="006733D2" w:rsidP="001064BA">
      <w:pPr>
        <w:pStyle w:val="SectionHeading1"/>
        <w:keepNext/>
        <w:widowControl/>
        <w:outlineLvl w:val="0"/>
        <w:rPr>
          <w:color w:val="595959" w:themeColor="text1" w:themeTint="A6"/>
          <w:sz w:val="22"/>
          <w:szCs w:val="22"/>
          <w:lang w:val="en-US"/>
        </w:rPr>
      </w:pPr>
      <w:r w:rsidRPr="0000794D">
        <w:rPr>
          <w:color w:val="595959" w:themeColor="text1" w:themeTint="A6"/>
          <w:sz w:val="22"/>
          <w:szCs w:val="22"/>
          <w:lang w:val="en-US"/>
        </w:rPr>
        <w:t xml:space="preserve">Section 27(2) of the FOI Act provides that an agency or a Minister is not required to disclose the existence of an exempt document in certain circumstances. For example, a law enforcement document that relates to a current covert investigation. </w:t>
      </w:r>
    </w:p>
    <w:p w14:paraId="6AB5C35F" w14:textId="0EC36590" w:rsidR="006733D2" w:rsidRPr="0000794D" w:rsidRDefault="006733D2" w:rsidP="006733D2">
      <w:pPr>
        <w:pStyle w:val="SectionHeading1"/>
        <w:outlineLvl w:val="0"/>
        <w:rPr>
          <w:color w:val="595959" w:themeColor="text1" w:themeTint="A6"/>
          <w:sz w:val="22"/>
          <w:szCs w:val="22"/>
          <w:lang w:val="en-US"/>
        </w:rPr>
      </w:pPr>
      <w:r w:rsidRPr="0000794D">
        <w:rPr>
          <w:color w:val="595959" w:themeColor="text1" w:themeTint="A6"/>
          <w:sz w:val="22"/>
          <w:szCs w:val="22"/>
          <w:lang w:val="en-US"/>
        </w:rPr>
        <w:t xml:space="preserve">The Amending Act alters s 27(2) by inserting a new sub-section 27(2)(ab) which provides that an agency or a Minister is not required to confirm or deny the existence of any document, if confirming or denying the existence of that document would involve the unreasonable disclosure of information relating to the personal affairs of any person for the reason that it would increase the risk to the safety of a </w:t>
      </w:r>
      <w:r w:rsidR="00893E32">
        <w:rPr>
          <w:color w:val="595959" w:themeColor="text1" w:themeTint="A6"/>
          <w:sz w:val="22"/>
          <w:szCs w:val="22"/>
          <w:lang w:val="en-US"/>
        </w:rPr>
        <w:t>victim survivor</w:t>
      </w:r>
      <w:r w:rsidRPr="0000794D">
        <w:rPr>
          <w:rStyle w:val="FootnoteReference"/>
          <w:color w:val="595959" w:themeColor="text1" w:themeTint="A6"/>
          <w:sz w:val="22"/>
          <w:szCs w:val="22"/>
          <w:lang w:val="en-US"/>
        </w:rPr>
        <w:footnoteReference w:id="17"/>
      </w:r>
      <w:r w:rsidRPr="0000794D">
        <w:rPr>
          <w:color w:val="595959" w:themeColor="text1" w:themeTint="A6"/>
          <w:sz w:val="22"/>
          <w:szCs w:val="22"/>
          <w:lang w:val="en-US"/>
        </w:rPr>
        <w:t xml:space="preserve"> </w:t>
      </w:r>
      <w:r w:rsidR="00445B42">
        <w:rPr>
          <w:color w:val="595959" w:themeColor="text1" w:themeTint="A6"/>
          <w:sz w:val="22"/>
          <w:szCs w:val="22"/>
          <w:lang w:val="en-US"/>
        </w:rPr>
        <w:t>of</w:t>
      </w:r>
      <w:r w:rsidRPr="0000794D">
        <w:rPr>
          <w:color w:val="595959" w:themeColor="text1" w:themeTint="A6"/>
          <w:sz w:val="22"/>
          <w:szCs w:val="22"/>
          <w:lang w:val="en-US"/>
        </w:rPr>
        <w:t xml:space="preserve"> family violence. </w:t>
      </w:r>
    </w:p>
    <w:p w14:paraId="5A1505A0" w14:textId="77777777" w:rsidR="006733D2" w:rsidRPr="0000794D" w:rsidRDefault="006733D2" w:rsidP="006733D2">
      <w:pPr>
        <w:pStyle w:val="SectionHeading1"/>
        <w:outlineLvl w:val="0"/>
        <w:rPr>
          <w:color w:val="595959" w:themeColor="text1" w:themeTint="A6"/>
          <w:sz w:val="22"/>
          <w:szCs w:val="22"/>
          <w:lang w:val="en-US"/>
        </w:rPr>
      </w:pPr>
      <w:r w:rsidRPr="0000794D">
        <w:rPr>
          <w:color w:val="595959" w:themeColor="text1" w:themeTint="A6"/>
          <w:sz w:val="22"/>
          <w:szCs w:val="22"/>
          <w:lang w:val="en-US"/>
        </w:rPr>
        <w:t>Documents in the possession of the CIP are exempt from FOI, to the extent that they would disclose personal information or health information about a victim survivor, a perpetrator or a relevant third party.</w:t>
      </w:r>
      <w:r w:rsidRPr="0000794D">
        <w:rPr>
          <w:rStyle w:val="FootnoteReference"/>
          <w:color w:val="595959" w:themeColor="text1" w:themeTint="A6"/>
          <w:sz w:val="22"/>
          <w:szCs w:val="22"/>
          <w:lang w:val="en-US"/>
        </w:rPr>
        <w:footnoteReference w:id="18"/>
      </w:r>
      <w:r w:rsidRPr="0000794D">
        <w:rPr>
          <w:color w:val="595959" w:themeColor="text1" w:themeTint="A6"/>
          <w:sz w:val="22"/>
          <w:szCs w:val="22"/>
          <w:lang w:val="en-US"/>
        </w:rPr>
        <w:t xml:space="preserve"> </w:t>
      </w:r>
    </w:p>
    <w:p w14:paraId="7385BD76" w14:textId="77777777" w:rsidR="006733D2" w:rsidRPr="0000794D" w:rsidRDefault="006733D2" w:rsidP="00255FFF">
      <w:pPr>
        <w:pStyle w:val="SectionHeading1"/>
        <w:rPr>
          <w:color w:val="595959" w:themeColor="text1" w:themeTint="A6"/>
          <w:lang w:val="en-AU"/>
        </w:rPr>
      </w:pPr>
      <w:r w:rsidRPr="0000794D">
        <w:rPr>
          <w:color w:val="595959" w:themeColor="text1" w:themeTint="A6"/>
          <w:sz w:val="22"/>
          <w:szCs w:val="22"/>
          <w:lang w:val="en-US"/>
        </w:rPr>
        <w:t>For further information regarding requests to access information under the FOI Act</w:t>
      </w:r>
      <w:r w:rsidRPr="0000794D">
        <w:rPr>
          <w:i/>
          <w:color w:val="595959" w:themeColor="text1" w:themeTint="A6"/>
          <w:sz w:val="22"/>
          <w:szCs w:val="22"/>
          <w:lang w:val="en-US"/>
        </w:rPr>
        <w:t xml:space="preserve">, </w:t>
      </w:r>
      <w:r w:rsidRPr="0000794D">
        <w:rPr>
          <w:color w:val="595959" w:themeColor="text1" w:themeTint="A6"/>
          <w:sz w:val="22"/>
          <w:szCs w:val="22"/>
          <w:lang w:val="en-US"/>
        </w:rPr>
        <w:t>practitioners should refer to Chapter 10 of the Guidelines</w:t>
      </w:r>
      <w:r w:rsidRPr="0000794D">
        <w:rPr>
          <w:i/>
          <w:color w:val="595959" w:themeColor="text1" w:themeTint="A6"/>
          <w:sz w:val="22"/>
          <w:szCs w:val="22"/>
          <w:lang w:val="en-US"/>
        </w:rPr>
        <w:t xml:space="preserve">. </w:t>
      </w:r>
    </w:p>
    <w:p w14:paraId="6CC25F1C" w14:textId="77777777" w:rsidR="00DB2EF3" w:rsidRPr="00DB2EF3" w:rsidRDefault="00DB2EF3" w:rsidP="00DB2EF3">
      <w:pPr>
        <w:pStyle w:val="SectionHeading2"/>
        <w:numPr>
          <w:ilvl w:val="0"/>
          <w:numId w:val="7"/>
        </w:numPr>
        <w:rPr>
          <w:rFonts w:cs="PostGrotesk-Book"/>
          <w:sz w:val="22"/>
          <w:szCs w:val="22"/>
          <w:lang w:val="en-US"/>
        </w:rPr>
      </w:pPr>
      <w:bookmarkStart w:id="10" w:name="_Toc506975210"/>
      <w:r w:rsidRPr="00DB2EF3">
        <w:rPr>
          <w:rFonts w:cs="PostGrotesk-Book"/>
          <w:sz w:val="22"/>
          <w:szCs w:val="22"/>
          <w:lang w:val="en-US"/>
        </w:rPr>
        <w:t xml:space="preserve">What about ISEs that are bound by the Commonwealth </w:t>
      </w:r>
      <w:r w:rsidRPr="00DB2EF3">
        <w:rPr>
          <w:rFonts w:cs="PostGrotesk-Book"/>
          <w:i/>
          <w:sz w:val="22"/>
          <w:szCs w:val="22"/>
          <w:lang w:val="en-US"/>
        </w:rPr>
        <w:t>Privacy Act 1988</w:t>
      </w:r>
      <w:r w:rsidRPr="00DB2EF3">
        <w:rPr>
          <w:rFonts w:cs="PostGrotesk-Book"/>
          <w:sz w:val="22"/>
          <w:szCs w:val="22"/>
          <w:lang w:val="en-US"/>
        </w:rPr>
        <w:t>?</w:t>
      </w:r>
      <w:bookmarkEnd w:id="10"/>
      <w:r w:rsidRPr="00DB2EF3">
        <w:rPr>
          <w:rFonts w:cs="PostGrotesk-Book"/>
          <w:sz w:val="22"/>
          <w:szCs w:val="22"/>
          <w:lang w:val="en-US"/>
        </w:rPr>
        <w:t xml:space="preserve"> </w:t>
      </w:r>
    </w:p>
    <w:p w14:paraId="77C7B020" w14:textId="77777777" w:rsidR="00DB2EF3" w:rsidRPr="00303C14" w:rsidRDefault="00DB2EF3" w:rsidP="00DB2EF3">
      <w:pPr>
        <w:pStyle w:val="Body"/>
      </w:pPr>
      <w:r w:rsidRPr="00303C14">
        <w:t>If an ISE has obligations under the</w:t>
      </w:r>
      <w:r w:rsidR="007C0712">
        <w:t xml:space="preserve"> Commonwealth</w:t>
      </w:r>
      <w:r w:rsidRPr="00303C14">
        <w:t xml:space="preserve"> </w:t>
      </w:r>
      <w:r w:rsidRPr="00303C14">
        <w:rPr>
          <w:i/>
        </w:rPr>
        <w:t xml:space="preserve">Privacy Act 1988, </w:t>
      </w:r>
      <w:r w:rsidRPr="00303C14">
        <w:t>they must continue to comply with the Australian Privacy Principles (</w:t>
      </w:r>
      <w:r w:rsidRPr="007C0712">
        <w:rPr>
          <w:b/>
        </w:rPr>
        <w:t>APPs</w:t>
      </w:r>
      <w:r w:rsidRPr="00303C14">
        <w:t xml:space="preserve">) when sharing information under Part 5A. Practitioners should refer to Chapter 11 of the Guidelines for more </w:t>
      </w:r>
      <w:r>
        <w:t>detail</w:t>
      </w:r>
      <w:r w:rsidRPr="00303C14">
        <w:t xml:space="preserve"> on sharing information in accordance with the APPs under the scheme. </w:t>
      </w:r>
    </w:p>
    <w:p w14:paraId="42BCBEAD" w14:textId="77777777" w:rsidR="00DB2EF3" w:rsidRPr="00DB2EF3" w:rsidRDefault="00DB2EF3" w:rsidP="003D2048">
      <w:pPr>
        <w:pStyle w:val="SectionHeading2"/>
        <w:keepNext/>
        <w:widowControl/>
        <w:numPr>
          <w:ilvl w:val="0"/>
          <w:numId w:val="7"/>
        </w:numPr>
        <w:rPr>
          <w:rFonts w:cs="PostGrotesk-Book"/>
          <w:sz w:val="22"/>
          <w:szCs w:val="22"/>
          <w:lang w:val="en-US"/>
        </w:rPr>
      </w:pPr>
      <w:bookmarkStart w:id="11" w:name="_Toc506975211"/>
      <w:r w:rsidRPr="00DB2EF3">
        <w:rPr>
          <w:rFonts w:cs="PostGrotesk-Book"/>
          <w:sz w:val="22"/>
          <w:szCs w:val="22"/>
          <w:lang w:val="en-US"/>
        </w:rPr>
        <w:lastRenderedPageBreak/>
        <w:t xml:space="preserve">Can organisations not bound by the PDPA or </w:t>
      </w:r>
      <w:r w:rsidRPr="00DB2EF3">
        <w:rPr>
          <w:rFonts w:cs="PostGrotesk-Book"/>
          <w:i/>
          <w:sz w:val="22"/>
          <w:szCs w:val="22"/>
          <w:lang w:val="en-US"/>
        </w:rPr>
        <w:t>Privacy Act 1988</w:t>
      </w:r>
      <w:r w:rsidRPr="00DB2EF3">
        <w:rPr>
          <w:rFonts w:cs="PostGrotesk-Book"/>
          <w:sz w:val="22"/>
          <w:szCs w:val="22"/>
          <w:lang w:val="en-US"/>
        </w:rPr>
        <w:t xml:space="preserve"> have privacy obligations?</w:t>
      </w:r>
      <w:bookmarkEnd w:id="11"/>
      <w:r w:rsidRPr="00DB2EF3">
        <w:rPr>
          <w:rFonts w:cs="PostGrotesk-Book"/>
          <w:sz w:val="22"/>
          <w:szCs w:val="22"/>
          <w:lang w:val="en-US"/>
        </w:rPr>
        <w:t xml:space="preserve"> </w:t>
      </w:r>
    </w:p>
    <w:p w14:paraId="5DEBC0D9" w14:textId="77777777" w:rsidR="00DB2EF3" w:rsidRPr="00303C14" w:rsidRDefault="00DB2EF3" w:rsidP="003D2048">
      <w:pPr>
        <w:pStyle w:val="Body"/>
        <w:keepNext/>
        <w:widowControl/>
        <w:rPr>
          <w:lang w:val="en-AU"/>
        </w:rPr>
      </w:pPr>
      <w:r w:rsidRPr="00303C14">
        <w:t xml:space="preserve">Yes. </w:t>
      </w:r>
      <w:r w:rsidRPr="00303C14">
        <w:rPr>
          <w:lang w:val="en-AU"/>
        </w:rPr>
        <w:t xml:space="preserve">Part 5A of the FVP Act specifically requires any ISEs that are not already bound by the PDPA or the </w:t>
      </w:r>
      <w:r w:rsidRPr="00303C14">
        <w:rPr>
          <w:i/>
          <w:lang w:val="en-AU"/>
        </w:rPr>
        <w:t>Privacy Act 1988</w:t>
      </w:r>
      <w:r w:rsidRPr="00303C14">
        <w:rPr>
          <w:lang w:val="en-AU"/>
        </w:rPr>
        <w:t xml:space="preserve"> to ensure that any personal information handled under Part 5A is done so in accordance with the PDPA.</w:t>
      </w:r>
      <w:r w:rsidRPr="00303C14">
        <w:rPr>
          <w:rStyle w:val="FootnoteReference"/>
          <w:color w:val="4A442A" w:themeColor="background2" w:themeShade="40"/>
          <w:lang w:val="en-AU"/>
        </w:rPr>
        <w:footnoteReference w:id="19"/>
      </w:r>
      <w:r w:rsidRPr="00303C14">
        <w:rPr>
          <w:lang w:val="en-AU"/>
        </w:rPr>
        <w:t xml:space="preserve"> </w:t>
      </w:r>
      <w:r w:rsidRPr="00303C14">
        <w:t>This wi</w:t>
      </w:r>
      <w:r>
        <w:t>ll include adhering to the IPPs, VPDSF and VPDSS.</w:t>
      </w:r>
    </w:p>
    <w:p w14:paraId="3852220B" w14:textId="77777777" w:rsidR="00A91F2D" w:rsidRDefault="00DB2EF3" w:rsidP="00DB2EF3">
      <w:pPr>
        <w:pStyle w:val="Body"/>
        <w:rPr>
          <w:lang w:val="en-AU"/>
        </w:rPr>
      </w:pPr>
      <w:r w:rsidRPr="00303C14">
        <w:rPr>
          <w:lang w:val="en-AU"/>
        </w:rPr>
        <w:t xml:space="preserve">This ensures that appropriate privacy protections are in place under the scheme and that all ISEs are subject to the complaints provisions of either the PDPA or the </w:t>
      </w:r>
      <w:r w:rsidRPr="00303C14">
        <w:rPr>
          <w:i/>
          <w:lang w:val="en-AU"/>
        </w:rPr>
        <w:t xml:space="preserve">Privacy Act 1988 </w:t>
      </w:r>
      <w:r w:rsidRPr="00303C14">
        <w:rPr>
          <w:lang w:val="en-AU"/>
        </w:rPr>
        <w:t>(where applicable) in relation to alle</w:t>
      </w:r>
      <w:r>
        <w:rPr>
          <w:lang w:val="en-AU"/>
        </w:rPr>
        <w:t>ged interferences with privacy. P</w:t>
      </w:r>
      <w:r w:rsidRPr="00303C14">
        <w:rPr>
          <w:lang w:val="en-AU"/>
        </w:rPr>
        <w:t>rivacy complain</w:t>
      </w:r>
      <w:r>
        <w:rPr>
          <w:lang w:val="en-AU"/>
        </w:rPr>
        <w:t>ts are discussed further in Question 18</w:t>
      </w:r>
      <w:r w:rsidRPr="00303C14">
        <w:rPr>
          <w:lang w:val="en-AU"/>
        </w:rPr>
        <w:t xml:space="preserve">. </w:t>
      </w:r>
    </w:p>
    <w:p w14:paraId="41F0D856" w14:textId="0C7A23B9" w:rsidR="0095638A" w:rsidRPr="00303C14" w:rsidRDefault="00A91F2D" w:rsidP="00DB2EF3">
      <w:pPr>
        <w:pStyle w:val="Body"/>
        <w:rPr>
          <w:lang w:val="en-AU"/>
        </w:rPr>
      </w:pPr>
      <w:r>
        <w:rPr>
          <w:lang w:val="en-AU"/>
        </w:rPr>
        <w:t>Victorian organisations holding health information continue to be bound by the HRA.</w:t>
      </w:r>
    </w:p>
    <w:p w14:paraId="4FA83B00" w14:textId="77777777" w:rsidR="00DB2EF3" w:rsidRPr="00DB2EF3" w:rsidRDefault="00DB2EF3" w:rsidP="00DB2EF3">
      <w:pPr>
        <w:pStyle w:val="SectionHeading1"/>
      </w:pPr>
      <w:bookmarkStart w:id="12" w:name="_Toc506975212"/>
      <w:r w:rsidRPr="00DB2EF3">
        <w:t>Information sharing in practice</w:t>
      </w:r>
      <w:bookmarkEnd w:id="12"/>
    </w:p>
    <w:p w14:paraId="03EC4E17" w14:textId="77777777" w:rsidR="00DB2EF3" w:rsidRPr="00DB2EF3" w:rsidRDefault="00DB2EF3" w:rsidP="00DB2EF3">
      <w:pPr>
        <w:pStyle w:val="SectionHeading2"/>
        <w:numPr>
          <w:ilvl w:val="0"/>
          <w:numId w:val="7"/>
        </w:numPr>
        <w:rPr>
          <w:rFonts w:cs="PostGrotesk-Book"/>
          <w:sz w:val="22"/>
          <w:szCs w:val="22"/>
          <w:lang w:val="en-US"/>
        </w:rPr>
      </w:pPr>
      <w:bookmarkStart w:id="13" w:name="_Toc506975213"/>
      <w:r w:rsidRPr="00DB2EF3">
        <w:rPr>
          <w:rFonts w:cs="PostGrotesk-Book"/>
          <w:sz w:val="22"/>
          <w:szCs w:val="22"/>
          <w:lang w:val="en-US"/>
        </w:rPr>
        <w:t>Can information already be shared under Victorian privacy law</w:t>
      </w:r>
      <w:r w:rsidRPr="00DB2EF3">
        <w:rPr>
          <w:rFonts w:cs="PostGrotesk-Book"/>
          <w:i/>
          <w:sz w:val="22"/>
          <w:szCs w:val="22"/>
          <w:lang w:val="en-US"/>
        </w:rPr>
        <w:t>?</w:t>
      </w:r>
      <w:bookmarkEnd w:id="13"/>
      <w:r w:rsidRPr="00DB2EF3">
        <w:rPr>
          <w:rFonts w:cs="PostGrotesk-Book"/>
          <w:i/>
          <w:sz w:val="22"/>
          <w:szCs w:val="22"/>
          <w:lang w:val="en-US"/>
        </w:rPr>
        <w:t xml:space="preserve"> </w:t>
      </w:r>
    </w:p>
    <w:p w14:paraId="1B7C68BA" w14:textId="77777777" w:rsidR="00DB2EF3" w:rsidRPr="00303C14" w:rsidRDefault="00DB2EF3" w:rsidP="00DB2EF3">
      <w:pPr>
        <w:pStyle w:val="Body"/>
        <w:rPr>
          <w:lang w:val="en-AU"/>
        </w:rPr>
      </w:pPr>
      <w:r w:rsidRPr="00303C14">
        <w:rPr>
          <w:lang w:val="en-AU"/>
        </w:rPr>
        <w:t>Despite common perceptions that privacy law acts as a barrier to information sharing, the PDPA and HRA have always facilitated information sharing in certain circumstances. Such cases may include where there is a serious threat to the life, health, safety or welfare</w:t>
      </w:r>
      <w:r>
        <w:rPr>
          <w:lang w:val="en-AU"/>
        </w:rPr>
        <w:t xml:space="preserve"> of an individual or the public;</w:t>
      </w:r>
      <w:r w:rsidRPr="00303C14">
        <w:rPr>
          <w:lang w:val="en-AU"/>
        </w:rPr>
        <w:t xml:space="preserve"> where the disclosure i</w:t>
      </w:r>
      <w:r>
        <w:rPr>
          <w:lang w:val="en-AU"/>
        </w:rPr>
        <w:t>s authorised or required by law;</w:t>
      </w:r>
      <w:r w:rsidRPr="00303C14">
        <w:rPr>
          <w:lang w:val="en-AU"/>
        </w:rPr>
        <w:t xml:space="preserve"> or where </w:t>
      </w:r>
      <w:r>
        <w:rPr>
          <w:lang w:val="en-AU"/>
        </w:rPr>
        <w:t>the</w:t>
      </w:r>
      <w:r w:rsidRPr="00303C14">
        <w:rPr>
          <w:lang w:val="en-AU"/>
        </w:rPr>
        <w:t xml:space="preserve"> individual has consented. As a starting point, IPP 2 and HPP 2 set out a number of instances where an organisation may share an individual’s personal in</w:t>
      </w:r>
      <w:r>
        <w:rPr>
          <w:lang w:val="en-AU"/>
        </w:rPr>
        <w:t>formation or health information</w:t>
      </w:r>
      <w:r w:rsidRPr="00303C14">
        <w:rPr>
          <w:lang w:val="en-AU"/>
        </w:rPr>
        <w:t xml:space="preserve"> for a secondary purpose</w:t>
      </w:r>
      <w:r>
        <w:rPr>
          <w:lang w:val="en-AU"/>
        </w:rPr>
        <w:t xml:space="preserve"> (a purpose</w:t>
      </w:r>
      <w:r w:rsidRPr="00303C14">
        <w:rPr>
          <w:lang w:val="en-AU"/>
        </w:rPr>
        <w:t xml:space="preserve"> other than the </w:t>
      </w:r>
      <w:r>
        <w:rPr>
          <w:lang w:val="en-AU"/>
        </w:rPr>
        <w:t xml:space="preserve">primary </w:t>
      </w:r>
      <w:r w:rsidRPr="00303C14">
        <w:rPr>
          <w:lang w:val="en-AU"/>
        </w:rPr>
        <w:t>purpose for collection</w:t>
      </w:r>
      <w:r>
        <w:rPr>
          <w:lang w:val="en-AU"/>
        </w:rPr>
        <w:t>)</w:t>
      </w:r>
      <w:r w:rsidRPr="00303C14">
        <w:rPr>
          <w:lang w:val="en-AU"/>
        </w:rPr>
        <w:t xml:space="preserve">. </w:t>
      </w:r>
    </w:p>
    <w:p w14:paraId="0ECA6D08" w14:textId="77777777" w:rsidR="00DB2EF3" w:rsidRPr="00303C14" w:rsidRDefault="00DB2EF3" w:rsidP="003D2048">
      <w:pPr>
        <w:pStyle w:val="Body"/>
        <w:keepNext/>
        <w:widowControl/>
        <w:rPr>
          <w:lang w:val="en-AU"/>
        </w:rPr>
      </w:pPr>
      <w:r w:rsidRPr="00303C14">
        <w:rPr>
          <w:lang w:val="en-AU"/>
        </w:rPr>
        <w:t xml:space="preserve">If an ISE was able to lawfully share information under the PDPA or HRA prior to being prescribed as an ISE, they may continue to do so under those laws. </w:t>
      </w:r>
      <w:r>
        <w:t xml:space="preserve">For guidance on how to share personal information within existing privacy obligations, </w:t>
      </w:r>
      <w:r>
        <w:lastRenderedPageBreak/>
        <w:t>p</w:t>
      </w:r>
      <w:r w:rsidRPr="00303C14">
        <w:t xml:space="preserve">ractitioners should refer to the </w:t>
      </w:r>
      <w:r w:rsidRPr="00303C14">
        <w:rPr>
          <w:i/>
        </w:rPr>
        <w:t>Guidelines for sharing personal information</w:t>
      </w:r>
      <w:r w:rsidRPr="00303C14">
        <w:t xml:space="preserve">, available on OVIC’s </w:t>
      </w:r>
      <w:hyperlink r:id="rId16" w:history="1">
        <w:r w:rsidRPr="00DB2EF3">
          <w:rPr>
            <w:rStyle w:val="Hyperlink"/>
          </w:rPr>
          <w:t>website</w:t>
        </w:r>
      </w:hyperlink>
      <w:r>
        <w:t>.</w:t>
      </w:r>
      <w:r w:rsidR="000E717A">
        <w:t xml:space="preserve"> Guidance on complying with the HRA requirements is available on the HCC’s </w:t>
      </w:r>
      <w:hyperlink r:id="rId17" w:history="1">
        <w:r w:rsidR="000E717A" w:rsidRPr="000E717A">
          <w:rPr>
            <w:rStyle w:val="Hyperlink"/>
          </w:rPr>
          <w:t>website</w:t>
        </w:r>
      </w:hyperlink>
      <w:r w:rsidR="000E717A">
        <w:t>.</w:t>
      </w:r>
    </w:p>
    <w:p w14:paraId="06C58DFF" w14:textId="77777777" w:rsidR="00DB2EF3" w:rsidRPr="00DB2EF3" w:rsidRDefault="00DB2EF3" w:rsidP="00DB2EF3">
      <w:pPr>
        <w:pStyle w:val="SectionHeading2"/>
        <w:numPr>
          <w:ilvl w:val="0"/>
          <w:numId w:val="7"/>
        </w:numPr>
        <w:rPr>
          <w:rFonts w:cs="PostGrotesk-Book"/>
          <w:sz w:val="22"/>
          <w:szCs w:val="22"/>
          <w:lang w:val="en-AU"/>
        </w:rPr>
      </w:pPr>
      <w:bookmarkStart w:id="14" w:name="_Toc506975214"/>
      <w:r w:rsidRPr="00DB2EF3">
        <w:rPr>
          <w:rFonts w:cs="PostGrotesk-Book"/>
          <w:sz w:val="22"/>
          <w:szCs w:val="22"/>
          <w:lang w:val="en-AU"/>
        </w:rPr>
        <w:t>What if an entity is not a prescribed ISE but wishes to share information about family violence risk?</w:t>
      </w:r>
      <w:bookmarkEnd w:id="14"/>
      <w:r w:rsidRPr="00DB2EF3">
        <w:rPr>
          <w:rFonts w:cs="PostGrotesk-Book"/>
          <w:sz w:val="22"/>
          <w:szCs w:val="22"/>
          <w:lang w:val="en-AU"/>
        </w:rPr>
        <w:t xml:space="preserve"> </w:t>
      </w:r>
    </w:p>
    <w:p w14:paraId="63E52B0E" w14:textId="77777777" w:rsidR="00DB2EF3" w:rsidRPr="00303C14" w:rsidRDefault="00DB2EF3" w:rsidP="00FA5EF0">
      <w:pPr>
        <w:pStyle w:val="Body"/>
        <w:widowControl/>
      </w:pPr>
      <w:r w:rsidRPr="00303C14">
        <w:t xml:space="preserve">In some cases, a Victorian public sector organisation that is </w:t>
      </w:r>
      <w:r w:rsidRPr="00303C14">
        <w:rPr>
          <w:b/>
        </w:rPr>
        <w:t xml:space="preserve">not </w:t>
      </w:r>
      <w:r w:rsidRPr="00303C14">
        <w:t xml:space="preserve">a prescribed ISE under the scheme may wish to share family violence information that they hold with another entity, whether that entity is a prescribed ISE or not. Similarly, an ISE may wish to share family violence information with an entity that is </w:t>
      </w:r>
      <w:r w:rsidRPr="00303C14">
        <w:rPr>
          <w:b/>
        </w:rPr>
        <w:t xml:space="preserve">not </w:t>
      </w:r>
      <w:r w:rsidRPr="00303C14">
        <w:t xml:space="preserve">a prescribed ISE under the scheme. If an organisation is not a prescribed ISE, this does not necessarily mean that they cannot share or receive family violence information. </w:t>
      </w:r>
    </w:p>
    <w:p w14:paraId="69B1937F" w14:textId="77777777" w:rsidR="00DB2EF3" w:rsidRPr="00303C14" w:rsidRDefault="00DB2EF3" w:rsidP="00DB2EF3">
      <w:pPr>
        <w:pStyle w:val="Body"/>
      </w:pPr>
      <w:r w:rsidRPr="00303C14">
        <w:t xml:space="preserve">In these cases, practitioners can rely on provisions that require or permit information sharing in their own enabling legislation, or the authorisations under IPP 2.1 and HPP 2.2 to share the relevant information. Recipients of the information should also ensure that they have the legal authority to collect it, either under their own enabling legislation, the PDPA or the HRA. </w:t>
      </w:r>
    </w:p>
    <w:p w14:paraId="5C74600D" w14:textId="77777777" w:rsidR="00DB2EF3" w:rsidRPr="00DB2EF3" w:rsidRDefault="00DB2EF3" w:rsidP="00DB2EF3">
      <w:pPr>
        <w:pStyle w:val="SectionHeading2"/>
        <w:numPr>
          <w:ilvl w:val="0"/>
          <w:numId w:val="7"/>
        </w:numPr>
        <w:rPr>
          <w:rFonts w:cs="PostGrotesk-Book"/>
          <w:sz w:val="22"/>
          <w:szCs w:val="22"/>
          <w:lang w:val="en-US"/>
        </w:rPr>
      </w:pPr>
      <w:bookmarkStart w:id="15" w:name="_Toc506975215"/>
      <w:r w:rsidRPr="00DB2EF3">
        <w:rPr>
          <w:rFonts w:cs="PostGrotesk-Book"/>
          <w:sz w:val="22"/>
          <w:szCs w:val="22"/>
          <w:lang w:val="en-US"/>
        </w:rPr>
        <w:t>Who can share information under the scheme?</w:t>
      </w:r>
      <w:bookmarkEnd w:id="15"/>
      <w:r w:rsidRPr="00DB2EF3">
        <w:rPr>
          <w:rFonts w:cs="PostGrotesk-Book"/>
          <w:sz w:val="22"/>
          <w:szCs w:val="22"/>
          <w:lang w:val="en-US"/>
        </w:rPr>
        <w:t xml:space="preserve"> </w:t>
      </w:r>
    </w:p>
    <w:p w14:paraId="7795C8A8" w14:textId="1DFCE502" w:rsidR="00DB2EF3" w:rsidRPr="00303C14" w:rsidRDefault="00DB2EF3" w:rsidP="00DB2EF3">
      <w:pPr>
        <w:pStyle w:val="Body"/>
      </w:pPr>
      <w:r w:rsidRPr="00303C14">
        <w:t xml:space="preserve">There are a number of entities prescribed as ISEs under the </w:t>
      </w:r>
      <w:r w:rsidRPr="00303C14">
        <w:rPr>
          <w:i/>
        </w:rPr>
        <w:t>Family Violence Protection (Information Sharing) Regulations 201</w:t>
      </w:r>
      <w:r w:rsidR="00445B42">
        <w:rPr>
          <w:i/>
        </w:rPr>
        <w:t>8</w:t>
      </w:r>
      <w:r w:rsidRPr="00303C14">
        <w:t xml:space="preserve"> (Regulations). Practitioners should refer to the list of prescribed ISEs contain</w:t>
      </w:r>
      <w:r>
        <w:t>ed in Part 2 of the Regulations</w:t>
      </w:r>
      <w:r w:rsidRPr="00303C14">
        <w:t xml:space="preserve"> to determine which entities will be able to share information under the scheme. </w:t>
      </w:r>
    </w:p>
    <w:p w14:paraId="483FD17D" w14:textId="77777777" w:rsidR="00DB2EF3" w:rsidRPr="00303C14" w:rsidRDefault="00DB2EF3" w:rsidP="00DB2EF3">
      <w:pPr>
        <w:pStyle w:val="Body"/>
      </w:pPr>
      <w:r w:rsidRPr="00303C14">
        <w:t xml:space="preserve">ISEs that are prescribed under the Regulations as </w:t>
      </w:r>
      <w:r w:rsidRPr="00303C14">
        <w:rPr>
          <w:b/>
        </w:rPr>
        <w:t>risk assessment entities (RAEs)</w:t>
      </w:r>
      <w:r w:rsidRPr="00303C14">
        <w:t xml:space="preserve"> can share information for a </w:t>
      </w:r>
      <w:r w:rsidRPr="00A162CF">
        <w:rPr>
          <w:b/>
        </w:rPr>
        <w:t>family violence</w:t>
      </w:r>
      <w:r>
        <w:t xml:space="preserve"> </w:t>
      </w:r>
      <w:r w:rsidRPr="00A162CF">
        <w:rPr>
          <w:b/>
        </w:rPr>
        <w:t>risk assessment purpose</w:t>
      </w:r>
      <w:r w:rsidRPr="00A162CF">
        <w:t>,</w:t>
      </w:r>
      <w:r w:rsidRPr="00303C14">
        <w:t xml:space="preserve"> that is, to establish and assess a risk of family violence. RAEs are a subset of ISEs, prescribed based on their functions. Examples of ISEs that are prescribed as RAEs include specialist </w:t>
      </w:r>
      <w:r w:rsidRPr="00303C14">
        <w:lastRenderedPageBreak/>
        <w:t>family violence services, Victoria Police</w:t>
      </w:r>
      <w:r>
        <w:t>,</w:t>
      </w:r>
      <w:r w:rsidR="00450FBB">
        <w:t xml:space="preserve"> and Support and Safety Hub</w:t>
      </w:r>
      <w:r w:rsidRPr="00303C14">
        <w:t xml:space="preserve"> workers.</w:t>
      </w:r>
    </w:p>
    <w:p w14:paraId="53547702" w14:textId="77777777" w:rsidR="00DB2EF3" w:rsidRPr="00303C14" w:rsidRDefault="00DB2EF3" w:rsidP="00DB2EF3">
      <w:pPr>
        <w:pStyle w:val="Body"/>
        <w:rPr>
          <w:b/>
        </w:rPr>
      </w:pPr>
      <w:r w:rsidRPr="00303C14">
        <w:t xml:space="preserve">All ISEs under the scheme will be able to share information for a </w:t>
      </w:r>
      <w:r w:rsidRPr="00303C14">
        <w:rPr>
          <w:b/>
        </w:rPr>
        <w:t>family violence protection purpose</w:t>
      </w:r>
      <w:r w:rsidRPr="00303C14">
        <w:t>,</w:t>
      </w:r>
      <w:r w:rsidRPr="00303C14">
        <w:rPr>
          <w:b/>
        </w:rPr>
        <w:t xml:space="preserve"> </w:t>
      </w:r>
      <w:r w:rsidRPr="00303C14">
        <w:t>that is, to manage a risk of family violence. Examples of key entities that can share information for a protection purpose include Magistrates’ Court staff, Children’s Court staff, Risk Assessment and Manag</w:t>
      </w:r>
      <w:r>
        <w:t>ement Panels (</w:t>
      </w:r>
      <w:r w:rsidRPr="007C0712">
        <w:rPr>
          <w:b/>
        </w:rPr>
        <w:t>RAMPs</w:t>
      </w:r>
      <w:r>
        <w:t>) members,</w:t>
      </w:r>
      <w:r w:rsidRPr="00303C14">
        <w:t xml:space="preserve"> Corrections Victoria staff and the Adult Parole Board. </w:t>
      </w:r>
    </w:p>
    <w:p w14:paraId="6A667652" w14:textId="77777777" w:rsidR="00DB2EF3" w:rsidRPr="00303C14" w:rsidRDefault="00DB2EF3" w:rsidP="00DB2EF3">
      <w:pPr>
        <w:pStyle w:val="Body"/>
      </w:pPr>
      <w:r w:rsidRPr="00303C14">
        <w:t xml:space="preserve">It is important to note that courts and tribunals prescribed as ISEs will be exempt from Part 5A in relation to their </w:t>
      </w:r>
      <w:r w:rsidRPr="00303C14">
        <w:rPr>
          <w:b/>
        </w:rPr>
        <w:t>judicial or quasi-judicial functions</w:t>
      </w:r>
      <w:r w:rsidRPr="00303C14">
        <w:t>, to mirror the existing exemption for courts and tribunals under s 10 of the PDPA and s 14 of the HRA.</w:t>
      </w:r>
      <w:r>
        <w:t xml:space="preserve"> </w:t>
      </w:r>
    </w:p>
    <w:p w14:paraId="77D60585" w14:textId="77777777" w:rsidR="0043503F" w:rsidRPr="0043503F" w:rsidRDefault="0043503F" w:rsidP="0043503F">
      <w:pPr>
        <w:pStyle w:val="SectionHeading2"/>
        <w:numPr>
          <w:ilvl w:val="0"/>
          <w:numId w:val="7"/>
        </w:numPr>
        <w:rPr>
          <w:rFonts w:cs="PostGrotesk-Book"/>
          <w:sz w:val="22"/>
          <w:szCs w:val="22"/>
          <w:lang w:val="en-US"/>
        </w:rPr>
      </w:pPr>
      <w:bookmarkStart w:id="16" w:name="_Toc506975216"/>
      <w:r w:rsidRPr="0043503F">
        <w:rPr>
          <w:rFonts w:cs="PostGrotesk-Book"/>
          <w:sz w:val="22"/>
          <w:szCs w:val="22"/>
          <w:lang w:val="en-US"/>
        </w:rPr>
        <w:t xml:space="preserve">What types of </w:t>
      </w:r>
      <w:r w:rsidRPr="0043503F">
        <w:rPr>
          <w:rFonts w:cs="PostGrotesk-Book"/>
          <w:sz w:val="22"/>
          <w:szCs w:val="22"/>
          <w:lang w:val="en-AU"/>
        </w:rPr>
        <w:t>information</w:t>
      </w:r>
      <w:r w:rsidRPr="0043503F">
        <w:rPr>
          <w:rFonts w:cs="PostGrotesk-Book"/>
          <w:sz w:val="22"/>
          <w:szCs w:val="22"/>
          <w:lang w:val="en-US"/>
        </w:rPr>
        <w:t xml:space="preserve"> can be shared?</w:t>
      </w:r>
      <w:bookmarkEnd w:id="16"/>
      <w:r w:rsidRPr="0043503F">
        <w:rPr>
          <w:rFonts w:cs="PostGrotesk-Book"/>
          <w:sz w:val="22"/>
          <w:szCs w:val="22"/>
          <w:lang w:val="en-US"/>
        </w:rPr>
        <w:t xml:space="preserve"> </w:t>
      </w:r>
    </w:p>
    <w:p w14:paraId="689EC86F" w14:textId="77777777" w:rsidR="0043503F" w:rsidRPr="0043503F" w:rsidRDefault="0043503F" w:rsidP="0043503F">
      <w:pPr>
        <w:pStyle w:val="Body"/>
        <w:rPr>
          <w:lang w:val="en-AU"/>
        </w:rPr>
      </w:pPr>
      <w:r w:rsidRPr="0043503F">
        <w:rPr>
          <w:lang w:val="en-AU"/>
        </w:rPr>
        <w:t xml:space="preserve">ISEs can share </w:t>
      </w:r>
      <w:r w:rsidRPr="0043503F">
        <w:rPr>
          <w:b/>
          <w:lang w:val="en-AU"/>
        </w:rPr>
        <w:t>‘confidential information’</w:t>
      </w:r>
      <w:r w:rsidRPr="0043503F">
        <w:rPr>
          <w:lang w:val="en-AU"/>
        </w:rPr>
        <w:t xml:space="preserve"> under Part 5A. Confidential information is an umbrella term that includes:</w:t>
      </w:r>
    </w:p>
    <w:p w14:paraId="2E7C33C0" w14:textId="77777777" w:rsidR="0043503F" w:rsidRPr="0043503F" w:rsidRDefault="0043503F" w:rsidP="0095638A">
      <w:pPr>
        <w:pStyle w:val="Body"/>
        <w:numPr>
          <w:ilvl w:val="0"/>
          <w:numId w:val="9"/>
        </w:numPr>
        <w:spacing w:after="120"/>
        <w:ind w:left="284" w:hanging="284"/>
      </w:pPr>
      <w:r w:rsidRPr="0043503F">
        <w:rPr>
          <w:lang w:val="en-AU"/>
        </w:rPr>
        <w:t xml:space="preserve">health information and identifiers for the </w:t>
      </w:r>
      <w:r w:rsidRPr="0043503F">
        <w:rPr>
          <w:lang w:val="en-US"/>
        </w:rPr>
        <w:t>purposes</w:t>
      </w:r>
      <w:r w:rsidRPr="0043503F">
        <w:rPr>
          <w:lang w:val="en-AU"/>
        </w:rPr>
        <w:t xml:space="preserve"> of the HRA</w:t>
      </w:r>
    </w:p>
    <w:p w14:paraId="6DDA1607" w14:textId="77777777" w:rsidR="0043503F" w:rsidRPr="0043503F" w:rsidRDefault="0043503F" w:rsidP="0043503F">
      <w:pPr>
        <w:pStyle w:val="Body"/>
        <w:numPr>
          <w:ilvl w:val="0"/>
          <w:numId w:val="9"/>
        </w:numPr>
        <w:ind w:left="284" w:hanging="284"/>
      </w:pPr>
      <w:r w:rsidRPr="0043503F">
        <w:rPr>
          <w:lang w:val="en-AU"/>
        </w:rPr>
        <w:t xml:space="preserve">personal information for the purposes of the </w:t>
      </w:r>
      <w:r w:rsidRPr="0043503F">
        <w:rPr>
          <w:lang w:val="en-US"/>
        </w:rPr>
        <w:t>PDPA</w:t>
      </w:r>
      <w:r w:rsidRPr="0043503F">
        <w:rPr>
          <w:lang w:val="en-AU"/>
        </w:rPr>
        <w:t xml:space="preserve">, including sensitive information (such as a criminal record), and unique identifiers. </w:t>
      </w:r>
    </w:p>
    <w:p w14:paraId="628BFD1B" w14:textId="77777777" w:rsidR="0043503F" w:rsidRPr="0043503F" w:rsidRDefault="0043503F" w:rsidP="0095638A">
      <w:pPr>
        <w:pStyle w:val="Body"/>
        <w:spacing w:after="120"/>
        <w:rPr>
          <w:lang w:val="en-AU"/>
        </w:rPr>
      </w:pPr>
      <w:r w:rsidRPr="0043503F">
        <w:rPr>
          <w:lang w:val="en-AU"/>
        </w:rPr>
        <w:t xml:space="preserve">However, s 144C of the FVP Act sets out types of information deemed to be </w:t>
      </w:r>
      <w:r w:rsidRPr="0043503F">
        <w:rPr>
          <w:b/>
          <w:lang w:val="en-AU"/>
        </w:rPr>
        <w:t>‘excluded information’</w:t>
      </w:r>
      <w:r w:rsidRPr="0043503F">
        <w:rPr>
          <w:lang w:val="en-AU"/>
        </w:rPr>
        <w:t xml:space="preserve"> under the scheme, which </w:t>
      </w:r>
      <w:r w:rsidRPr="0043503F">
        <w:rPr>
          <w:b/>
          <w:lang w:val="en-AU"/>
        </w:rPr>
        <w:t>cannot</w:t>
      </w:r>
      <w:r w:rsidRPr="0043503F">
        <w:rPr>
          <w:lang w:val="en-AU"/>
        </w:rPr>
        <w:t xml:space="preserve"> be shared. Examples of when information will be deemed excluded information include if the collection, use or disclosure of the information could be reasonably expected to: </w:t>
      </w:r>
    </w:p>
    <w:p w14:paraId="2F79EAAC" w14:textId="77777777" w:rsidR="0043503F" w:rsidRPr="0043503F" w:rsidRDefault="0043503F" w:rsidP="0095638A">
      <w:pPr>
        <w:pStyle w:val="Body"/>
        <w:numPr>
          <w:ilvl w:val="0"/>
          <w:numId w:val="9"/>
        </w:numPr>
        <w:spacing w:after="120"/>
        <w:ind w:left="284" w:hanging="284"/>
        <w:rPr>
          <w:lang w:val="en-AU"/>
        </w:rPr>
      </w:pPr>
      <w:r w:rsidRPr="0043503F">
        <w:rPr>
          <w:lang w:val="en-AU"/>
        </w:rPr>
        <w:t xml:space="preserve">endanger a person’s life or result in </w:t>
      </w:r>
      <w:r w:rsidRPr="0043503F">
        <w:rPr>
          <w:lang w:val="en-US"/>
        </w:rPr>
        <w:t>physical</w:t>
      </w:r>
      <w:r w:rsidRPr="0043503F">
        <w:rPr>
          <w:lang w:val="en-AU"/>
        </w:rPr>
        <w:t xml:space="preserve"> injury</w:t>
      </w:r>
    </w:p>
    <w:p w14:paraId="732C979B" w14:textId="77777777" w:rsidR="0043503F" w:rsidRPr="0043503F" w:rsidRDefault="0043503F" w:rsidP="0095638A">
      <w:pPr>
        <w:pStyle w:val="Body"/>
        <w:numPr>
          <w:ilvl w:val="0"/>
          <w:numId w:val="9"/>
        </w:numPr>
        <w:spacing w:after="120"/>
        <w:ind w:left="284" w:hanging="284"/>
        <w:rPr>
          <w:lang w:val="en-AU"/>
        </w:rPr>
      </w:pPr>
      <w:r w:rsidRPr="0043503F">
        <w:rPr>
          <w:lang w:val="en-US"/>
        </w:rPr>
        <w:t>contravene</w:t>
      </w:r>
      <w:r w:rsidRPr="0043503F">
        <w:rPr>
          <w:lang w:val="en-AU"/>
        </w:rPr>
        <w:t xml:space="preserve"> a court order or legal professional privilege</w:t>
      </w:r>
      <w:r w:rsidR="002574C7">
        <w:rPr>
          <w:lang w:val="en-AU"/>
        </w:rPr>
        <w:t>, or</w:t>
      </w:r>
      <w:r w:rsidRPr="0043503F">
        <w:rPr>
          <w:lang w:val="en-AU"/>
        </w:rPr>
        <w:t xml:space="preserve"> </w:t>
      </w:r>
    </w:p>
    <w:p w14:paraId="10C10E52" w14:textId="77777777" w:rsidR="0043503F" w:rsidRPr="0043503F" w:rsidRDefault="0043503F" w:rsidP="001064BA">
      <w:pPr>
        <w:pStyle w:val="Body"/>
        <w:keepNext/>
        <w:widowControl/>
        <w:numPr>
          <w:ilvl w:val="0"/>
          <w:numId w:val="9"/>
        </w:numPr>
        <w:ind w:left="288" w:hanging="288"/>
        <w:rPr>
          <w:lang w:val="en-AU"/>
        </w:rPr>
      </w:pPr>
      <w:r w:rsidRPr="0043503F">
        <w:rPr>
          <w:lang w:val="en-AU"/>
        </w:rPr>
        <w:lastRenderedPageBreak/>
        <w:t xml:space="preserve">be </w:t>
      </w:r>
      <w:r w:rsidRPr="0043503F">
        <w:rPr>
          <w:lang w:val="en-US"/>
        </w:rPr>
        <w:t>contrary</w:t>
      </w:r>
      <w:r w:rsidRPr="0043503F">
        <w:rPr>
          <w:lang w:val="en-AU"/>
        </w:rPr>
        <w:t xml:space="preserve"> to the public interest, amongst others.</w:t>
      </w:r>
      <w:r w:rsidRPr="0043503F">
        <w:rPr>
          <w:vertAlign w:val="superscript"/>
          <w:lang w:val="en-AU"/>
        </w:rPr>
        <w:footnoteReference w:id="20"/>
      </w:r>
      <w:r w:rsidRPr="0043503F">
        <w:rPr>
          <w:lang w:val="en-AU"/>
        </w:rPr>
        <w:t xml:space="preserve"> </w:t>
      </w:r>
    </w:p>
    <w:p w14:paraId="594F20C0" w14:textId="77777777" w:rsidR="0043503F" w:rsidRPr="0043503F" w:rsidRDefault="0043503F" w:rsidP="0043503F">
      <w:pPr>
        <w:pStyle w:val="Body"/>
        <w:rPr>
          <w:lang w:val="en-AU"/>
        </w:rPr>
      </w:pPr>
      <w:r w:rsidRPr="0043503F">
        <w:rPr>
          <w:lang w:val="en-AU"/>
        </w:rPr>
        <w:t>In determining whether information is excluded information under the scheme, practitioners should refer to the list of excluded information in Chapter 1 of the Guidelines, or seek independent legal advice where necessary.</w:t>
      </w:r>
    </w:p>
    <w:p w14:paraId="4BA85219" w14:textId="77777777" w:rsidR="0043503F" w:rsidRPr="0043503F" w:rsidRDefault="0043503F" w:rsidP="0043503F">
      <w:pPr>
        <w:pStyle w:val="SectionHeading2"/>
        <w:numPr>
          <w:ilvl w:val="0"/>
          <w:numId w:val="7"/>
        </w:numPr>
        <w:rPr>
          <w:rFonts w:cs="PostGrotesk-Book"/>
          <w:sz w:val="22"/>
          <w:szCs w:val="22"/>
          <w:lang w:val="en-US"/>
        </w:rPr>
      </w:pPr>
      <w:bookmarkStart w:id="17" w:name="_Toc498695285"/>
      <w:bookmarkStart w:id="18" w:name="_Toc506975217"/>
      <w:r w:rsidRPr="0043503F">
        <w:rPr>
          <w:rFonts w:cs="PostGrotesk-Book"/>
          <w:sz w:val="22"/>
          <w:szCs w:val="22"/>
          <w:lang w:val="en-US"/>
        </w:rPr>
        <w:t xml:space="preserve">How can practitioners determine quickly when to </w:t>
      </w:r>
      <w:r w:rsidRPr="0043503F">
        <w:rPr>
          <w:rFonts w:cs="PostGrotesk-Book"/>
          <w:sz w:val="22"/>
          <w:szCs w:val="22"/>
          <w:lang w:val="en-AU"/>
        </w:rPr>
        <w:t>share</w:t>
      </w:r>
      <w:r w:rsidRPr="0043503F">
        <w:rPr>
          <w:rFonts w:cs="PostGrotesk-Book"/>
          <w:sz w:val="22"/>
          <w:szCs w:val="22"/>
          <w:lang w:val="en-US"/>
        </w:rPr>
        <w:t xml:space="preserve"> information?</w:t>
      </w:r>
      <w:bookmarkEnd w:id="17"/>
      <w:bookmarkEnd w:id="18"/>
      <w:r w:rsidRPr="0043503F">
        <w:rPr>
          <w:rFonts w:cs="PostGrotesk-Book"/>
          <w:sz w:val="22"/>
          <w:szCs w:val="22"/>
          <w:lang w:val="en-US"/>
        </w:rPr>
        <w:t xml:space="preserve"> </w:t>
      </w:r>
    </w:p>
    <w:p w14:paraId="13625596" w14:textId="77777777" w:rsidR="0043503F" w:rsidRPr="0043503F" w:rsidRDefault="0043503F" w:rsidP="0095638A">
      <w:pPr>
        <w:pStyle w:val="Body"/>
        <w:spacing w:after="120"/>
      </w:pPr>
      <w:r w:rsidRPr="0043503F">
        <w:t>Some tips to assist practitioners to determine if and when they can share information include:</w:t>
      </w:r>
    </w:p>
    <w:p w14:paraId="3E7A206D" w14:textId="77777777" w:rsidR="0043503F" w:rsidRPr="0043503F" w:rsidRDefault="0043503F" w:rsidP="0095638A">
      <w:pPr>
        <w:pStyle w:val="Body"/>
        <w:numPr>
          <w:ilvl w:val="0"/>
          <w:numId w:val="9"/>
        </w:numPr>
        <w:spacing w:after="120"/>
        <w:ind w:left="284" w:hanging="284"/>
        <w:rPr>
          <w:lang w:val="en-US"/>
        </w:rPr>
      </w:pPr>
      <w:r w:rsidRPr="0043503F">
        <w:rPr>
          <w:lang w:val="en-AU"/>
        </w:rPr>
        <w:t>verify</w:t>
      </w:r>
      <w:r w:rsidRPr="0043503F">
        <w:rPr>
          <w:lang w:val="en-US"/>
        </w:rPr>
        <w:t xml:space="preserve"> the identity of the ISE before sharing – this can be done by confirming that the requesting ISE has been prescribed under the Regulations</w:t>
      </w:r>
      <w:r w:rsidRPr="0043503F">
        <w:rPr>
          <w:vertAlign w:val="superscript"/>
          <w:lang w:val="en-US"/>
        </w:rPr>
        <w:footnoteReference w:id="21"/>
      </w:r>
      <w:r w:rsidRPr="0043503F">
        <w:rPr>
          <w:lang w:val="en-US"/>
        </w:rPr>
        <w:t xml:space="preserve"> </w:t>
      </w:r>
    </w:p>
    <w:p w14:paraId="6E3AD3A1" w14:textId="77777777" w:rsidR="0043503F" w:rsidRPr="0043503F" w:rsidRDefault="0043503F" w:rsidP="0095638A">
      <w:pPr>
        <w:pStyle w:val="Body"/>
        <w:numPr>
          <w:ilvl w:val="0"/>
          <w:numId w:val="9"/>
        </w:numPr>
        <w:spacing w:after="120"/>
        <w:ind w:left="284" w:hanging="284"/>
        <w:rPr>
          <w:lang w:val="en-US"/>
        </w:rPr>
      </w:pPr>
      <w:r w:rsidRPr="0043503F">
        <w:rPr>
          <w:lang w:val="en-US"/>
        </w:rPr>
        <w:t xml:space="preserve">consider whether the information is relevant to assessing or managing a family </w:t>
      </w:r>
      <w:r w:rsidRPr="0043503F">
        <w:rPr>
          <w:lang w:val="en-AU"/>
        </w:rPr>
        <w:t>violence</w:t>
      </w:r>
      <w:r w:rsidRPr="0043503F">
        <w:rPr>
          <w:lang w:val="en-US"/>
        </w:rPr>
        <w:t xml:space="preserve"> risk</w:t>
      </w:r>
      <w:r w:rsidRPr="0043503F">
        <w:rPr>
          <w:vertAlign w:val="superscript"/>
          <w:lang w:val="en-US"/>
        </w:rPr>
        <w:footnoteReference w:id="22"/>
      </w:r>
    </w:p>
    <w:p w14:paraId="61D5C61E" w14:textId="77777777" w:rsidR="0043503F" w:rsidRPr="0043503F" w:rsidRDefault="0043503F" w:rsidP="0095638A">
      <w:pPr>
        <w:pStyle w:val="Body"/>
        <w:numPr>
          <w:ilvl w:val="0"/>
          <w:numId w:val="9"/>
        </w:numPr>
        <w:spacing w:after="120"/>
        <w:ind w:left="284" w:hanging="284"/>
        <w:rPr>
          <w:lang w:val="en-US"/>
        </w:rPr>
      </w:pPr>
      <w:r w:rsidRPr="0043503F">
        <w:rPr>
          <w:lang w:val="en-AU"/>
        </w:rPr>
        <w:t>consider</w:t>
      </w:r>
      <w:r w:rsidRPr="0043503F">
        <w:rPr>
          <w:lang w:val="en-US"/>
        </w:rPr>
        <w:t xml:space="preserve"> whether the information is excluded information</w:t>
      </w:r>
      <w:r w:rsidRPr="0043503F">
        <w:rPr>
          <w:vertAlign w:val="superscript"/>
          <w:lang w:val="en-US"/>
        </w:rPr>
        <w:footnoteReference w:id="23"/>
      </w:r>
      <w:r w:rsidRPr="0043503F">
        <w:rPr>
          <w:lang w:val="en-US"/>
        </w:rPr>
        <w:t xml:space="preserve"> </w:t>
      </w:r>
    </w:p>
    <w:p w14:paraId="611E45D6" w14:textId="77777777" w:rsidR="0043503F" w:rsidRPr="0043503F" w:rsidRDefault="0043503F" w:rsidP="0095638A">
      <w:pPr>
        <w:pStyle w:val="Body"/>
        <w:numPr>
          <w:ilvl w:val="0"/>
          <w:numId w:val="9"/>
        </w:numPr>
        <w:spacing w:after="120"/>
        <w:ind w:left="284" w:hanging="284"/>
        <w:rPr>
          <w:lang w:val="en-US"/>
        </w:rPr>
      </w:pPr>
      <w:r w:rsidRPr="0043503F">
        <w:rPr>
          <w:lang w:val="en-US"/>
        </w:rPr>
        <w:t xml:space="preserve">ensure </w:t>
      </w:r>
      <w:r w:rsidRPr="0043503F">
        <w:rPr>
          <w:lang w:val="en-AU"/>
        </w:rPr>
        <w:t>that</w:t>
      </w:r>
      <w:r w:rsidRPr="0043503F">
        <w:rPr>
          <w:lang w:val="en-US"/>
        </w:rPr>
        <w:t xml:space="preserve"> the relevant consent thresholds have been met</w:t>
      </w:r>
      <w:r w:rsidRPr="0043503F">
        <w:rPr>
          <w:vertAlign w:val="superscript"/>
          <w:lang w:val="en-US"/>
        </w:rPr>
        <w:footnoteReference w:id="24"/>
      </w:r>
    </w:p>
    <w:p w14:paraId="616A13E2" w14:textId="77777777" w:rsidR="0043503F" w:rsidRPr="0043503F" w:rsidRDefault="0043503F" w:rsidP="0095638A">
      <w:pPr>
        <w:pStyle w:val="Body"/>
        <w:numPr>
          <w:ilvl w:val="0"/>
          <w:numId w:val="9"/>
        </w:numPr>
        <w:spacing w:after="120"/>
        <w:ind w:left="284" w:hanging="284"/>
        <w:rPr>
          <w:lang w:val="en-US"/>
        </w:rPr>
      </w:pPr>
      <w:r w:rsidRPr="0043503F">
        <w:rPr>
          <w:lang w:val="en-US"/>
        </w:rPr>
        <w:t xml:space="preserve">refer to any obligations under enabling legislation and privacy laws to ensure that any sharing of information under the scheme is done in accordance with the relevant privacy requirements </w:t>
      </w:r>
    </w:p>
    <w:p w14:paraId="3D89A995" w14:textId="77777777" w:rsidR="0043503F" w:rsidRPr="0043503F" w:rsidRDefault="0043503F" w:rsidP="0095638A">
      <w:pPr>
        <w:pStyle w:val="Body"/>
        <w:numPr>
          <w:ilvl w:val="0"/>
          <w:numId w:val="9"/>
        </w:numPr>
        <w:spacing w:after="120"/>
        <w:ind w:left="284" w:hanging="284"/>
        <w:rPr>
          <w:lang w:val="en-US"/>
        </w:rPr>
      </w:pPr>
      <w:r w:rsidRPr="0043503F">
        <w:rPr>
          <w:lang w:val="en-US"/>
        </w:rPr>
        <w:t>check that the information does not contravene other laws</w:t>
      </w:r>
      <w:r w:rsidRPr="0043503F">
        <w:rPr>
          <w:vertAlign w:val="superscript"/>
          <w:lang w:val="en-US"/>
        </w:rPr>
        <w:footnoteReference w:id="25"/>
      </w:r>
    </w:p>
    <w:p w14:paraId="653B82DB" w14:textId="77777777" w:rsidR="0043503F" w:rsidRPr="0043503F" w:rsidRDefault="0043503F" w:rsidP="00C212D5">
      <w:pPr>
        <w:pStyle w:val="Body"/>
        <w:keepNext/>
        <w:widowControl/>
        <w:numPr>
          <w:ilvl w:val="0"/>
          <w:numId w:val="9"/>
        </w:numPr>
        <w:ind w:left="284" w:hanging="284"/>
        <w:rPr>
          <w:lang w:val="en-US"/>
        </w:rPr>
      </w:pPr>
      <w:r w:rsidRPr="0043503F">
        <w:rPr>
          <w:lang w:val="en-US"/>
        </w:rPr>
        <w:lastRenderedPageBreak/>
        <w:t>seek to align existing internal information management policies and practices with the scheme to facilitate quick decision making.</w:t>
      </w:r>
      <w:r w:rsidRPr="0043503F">
        <w:rPr>
          <w:vertAlign w:val="superscript"/>
          <w:lang w:val="en-US"/>
        </w:rPr>
        <w:footnoteReference w:id="26"/>
      </w:r>
    </w:p>
    <w:p w14:paraId="37180192" w14:textId="77777777" w:rsidR="0043503F" w:rsidRPr="0043503F" w:rsidRDefault="0043503F" w:rsidP="003D2048">
      <w:pPr>
        <w:pStyle w:val="Body"/>
        <w:keepNext/>
        <w:widowControl/>
      </w:pPr>
      <w:r w:rsidRPr="0043503F">
        <w:t xml:space="preserve">For further guidance practitioners should refer to the Guidelines and resources available on Family Safety Victoria’s </w:t>
      </w:r>
      <w:hyperlink r:id="rId18" w:history="1">
        <w:r w:rsidRPr="0043503F">
          <w:rPr>
            <w:rStyle w:val="Hyperlink"/>
          </w:rPr>
          <w:t>website</w:t>
        </w:r>
      </w:hyperlink>
      <w:r w:rsidRPr="0043503F">
        <w:t xml:space="preserve">.  </w:t>
      </w:r>
    </w:p>
    <w:p w14:paraId="2F011B1A" w14:textId="77777777" w:rsidR="0043503F" w:rsidRPr="0043503F" w:rsidRDefault="0043503F" w:rsidP="0043503F">
      <w:pPr>
        <w:pStyle w:val="SectionHeading2"/>
        <w:numPr>
          <w:ilvl w:val="0"/>
          <w:numId w:val="7"/>
        </w:numPr>
        <w:rPr>
          <w:rFonts w:cs="PostGrotesk-Book"/>
          <w:sz w:val="22"/>
          <w:szCs w:val="22"/>
          <w:lang w:val="en-AU"/>
        </w:rPr>
      </w:pPr>
      <w:bookmarkStart w:id="19" w:name="_Toc506975218"/>
      <w:r w:rsidRPr="0043503F">
        <w:rPr>
          <w:rFonts w:cs="PostGrotesk-Book"/>
          <w:sz w:val="22"/>
          <w:szCs w:val="22"/>
          <w:lang w:val="en-US"/>
        </w:rPr>
        <w:t>How can practitioners share information under the scheme?</w:t>
      </w:r>
      <w:bookmarkEnd w:id="19"/>
      <w:r w:rsidRPr="0043503F">
        <w:rPr>
          <w:rFonts w:cs="PostGrotesk-Book"/>
          <w:sz w:val="22"/>
          <w:szCs w:val="22"/>
          <w:lang w:val="en-US"/>
        </w:rPr>
        <w:t xml:space="preserve"> </w:t>
      </w:r>
    </w:p>
    <w:p w14:paraId="58797ED9" w14:textId="77777777" w:rsidR="0043503F" w:rsidRPr="0095638A" w:rsidRDefault="0043503F" w:rsidP="0043503F">
      <w:pPr>
        <w:pStyle w:val="Body"/>
        <w:rPr>
          <w:i/>
          <w:color w:val="430098"/>
        </w:rPr>
      </w:pPr>
      <w:r w:rsidRPr="0095638A">
        <w:rPr>
          <w:bCs/>
          <w:i/>
          <w:color w:val="430098"/>
        </w:rPr>
        <w:t>Family violence risk assessment purpose</w:t>
      </w:r>
    </w:p>
    <w:p w14:paraId="480432D5" w14:textId="77777777" w:rsidR="0043503F" w:rsidRPr="0043503F" w:rsidRDefault="0043503F" w:rsidP="0043503F">
      <w:pPr>
        <w:pStyle w:val="Body"/>
      </w:pPr>
      <w:r w:rsidRPr="0043503F">
        <w:t xml:space="preserve">A RAE can request information about a victim survivor, a perpetrator or alleged perpetrator, and a linked person from an ISE for a </w:t>
      </w:r>
      <w:r w:rsidRPr="0043503F">
        <w:rPr>
          <w:b/>
        </w:rPr>
        <w:t>family violence risk assessment purpose</w:t>
      </w:r>
      <w:r w:rsidRPr="0043503F">
        <w:t xml:space="preserve">. Where a RAE receives confidential information for a risk assessment purpose, </w:t>
      </w:r>
      <w:r w:rsidRPr="0043503F">
        <w:rPr>
          <w:u w:val="single"/>
        </w:rPr>
        <w:t>it can only use the information for a risk assessment purpose unless otherwise permitted by law</w:t>
      </w:r>
      <w:r w:rsidRPr="0043503F">
        <w:t xml:space="preserve">. If a risk is established, the information can be subsequently used for a protection purpose. </w:t>
      </w:r>
    </w:p>
    <w:p w14:paraId="641EF3B6" w14:textId="77777777" w:rsidR="0043503F" w:rsidRPr="0043503F" w:rsidRDefault="0043503F" w:rsidP="0043503F">
      <w:pPr>
        <w:pStyle w:val="Body"/>
      </w:pPr>
      <w:r w:rsidRPr="0043503F">
        <w:t>ISEs must disclose confidential information to a RAE that has requested the information about an individual for a family violence assessment purpose.</w:t>
      </w:r>
      <w:r w:rsidRPr="0043503F">
        <w:rPr>
          <w:vertAlign w:val="superscript"/>
        </w:rPr>
        <w:footnoteReference w:id="27"/>
      </w:r>
      <w:r w:rsidRPr="0043503F">
        <w:t xml:space="preserve"> This means that ISEs will be required to share information, provided that: </w:t>
      </w:r>
    </w:p>
    <w:p w14:paraId="12788142" w14:textId="77777777" w:rsidR="0043503F" w:rsidRPr="0043503F" w:rsidRDefault="0043503F" w:rsidP="0095638A">
      <w:pPr>
        <w:pStyle w:val="Body"/>
        <w:numPr>
          <w:ilvl w:val="0"/>
          <w:numId w:val="9"/>
        </w:numPr>
        <w:spacing w:after="120"/>
        <w:ind w:left="284" w:hanging="284"/>
        <w:rPr>
          <w:lang w:val="en-AU"/>
        </w:rPr>
      </w:pPr>
      <w:r w:rsidRPr="0043503F">
        <w:rPr>
          <w:lang w:val="en-US"/>
        </w:rPr>
        <w:t xml:space="preserve">the information is not excluded </w:t>
      </w:r>
      <w:r w:rsidRPr="0043503F">
        <w:rPr>
          <w:lang w:val="en-AU"/>
        </w:rPr>
        <w:t xml:space="preserve">information </w:t>
      </w:r>
    </w:p>
    <w:p w14:paraId="34038949" w14:textId="77777777" w:rsidR="0043503F" w:rsidRPr="0043503F" w:rsidRDefault="0043503F" w:rsidP="0095638A">
      <w:pPr>
        <w:pStyle w:val="Body"/>
        <w:numPr>
          <w:ilvl w:val="0"/>
          <w:numId w:val="9"/>
        </w:numPr>
        <w:spacing w:after="120"/>
        <w:ind w:left="284" w:hanging="284"/>
        <w:rPr>
          <w:b/>
          <w:i/>
          <w:lang w:val="en-AU"/>
        </w:rPr>
      </w:pPr>
      <w:r w:rsidRPr="0043503F">
        <w:rPr>
          <w:lang w:val="en-AU"/>
        </w:rPr>
        <w:t>the disclosure does not contravene another</w:t>
      </w:r>
      <w:r w:rsidRPr="0043503F">
        <w:rPr>
          <w:lang w:val="en-US"/>
        </w:rPr>
        <w:t xml:space="preserve"> law</w:t>
      </w:r>
    </w:p>
    <w:p w14:paraId="06B673DD" w14:textId="77777777" w:rsidR="0043503F" w:rsidRPr="0043503F" w:rsidRDefault="0043503F" w:rsidP="0095638A">
      <w:pPr>
        <w:pStyle w:val="Body"/>
        <w:numPr>
          <w:ilvl w:val="0"/>
          <w:numId w:val="9"/>
        </w:numPr>
        <w:spacing w:after="120"/>
        <w:ind w:left="284" w:hanging="284"/>
        <w:rPr>
          <w:b/>
          <w:i/>
          <w:lang w:val="en-AU"/>
        </w:rPr>
      </w:pPr>
      <w:r w:rsidRPr="0043503F">
        <w:rPr>
          <w:lang w:val="en-US"/>
        </w:rPr>
        <w:t xml:space="preserve">the relevant consent provisions have </w:t>
      </w:r>
      <w:r w:rsidRPr="0043503F">
        <w:rPr>
          <w:lang w:val="en-AU"/>
        </w:rPr>
        <w:t>been</w:t>
      </w:r>
      <w:r w:rsidRPr="0043503F">
        <w:rPr>
          <w:lang w:val="en-US"/>
        </w:rPr>
        <w:t xml:space="preserve"> adhered to</w:t>
      </w:r>
      <w:r w:rsidRPr="0043503F">
        <w:rPr>
          <w:vertAlign w:val="superscript"/>
          <w:lang w:val="en-US"/>
        </w:rPr>
        <w:footnoteReference w:id="28"/>
      </w:r>
      <w:r w:rsidRPr="0043503F">
        <w:rPr>
          <w:lang w:val="en-US"/>
        </w:rPr>
        <w:t xml:space="preserve"> </w:t>
      </w:r>
    </w:p>
    <w:p w14:paraId="20879D8F" w14:textId="77777777" w:rsidR="0043503F" w:rsidRPr="0043503F" w:rsidRDefault="0043503F" w:rsidP="0043503F">
      <w:pPr>
        <w:pStyle w:val="Body"/>
        <w:numPr>
          <w:ilvl w:val="0"/>
          <w:numId w:val="9"/>
        </w:numPr>
        <w:ind w:left="284" w:hanging="284"/>
        <w:rPr>
          <w:b/>
          <w:i/>
          <w:lang w:val="en-AU"/>
        </w:rPr>
      </w:pPr>
      <w:r w:rsidRPr="0043503F">
        <w:rPr>
          <w:lang w:val="en-US"/>
        </w:rPr>
        <w:t xml:space="preserve">the </w:t>
      </w:r>
      <w:r w:rsidRPr="0043503F">
        <w:rPr>
          <w:lang w:val="en-AU"/>
        </w:rPr>
        <w:t>ISE</w:t>
      </w:r>
      <w:r w:rsidRPr="0043503F">
        <w:rPr>
          <w:lang w:val="en-US"/>
        </w:rPr>
        <w:t xml:space="preserve"> is not acting in their judicial or quasi-judicial function.</w:t>
      </w:r>
    </w:p>
    <w:p w14:paraId="0DB43A3D" w14:textId="77777777" w:rsidR="0043503F" w:rsidRPr="0095638A" w:rsidRDefault="0043503F" w:rsidP="0043503F">
      <w:pPr>
        <w:pStyle w:val="Body"/>
        <w:rPr>
          <w:i/>
          <w:color w:val="430098"/>
        </w:rPr>
      </w:pPr>
      <w:r w:rsidRPr="0095638A">
        <w:rPr>
          <w:bCs/>
          <w:i/>
          <w:color w:val="430098"/>
        </w:rPr>
        <w:t>Family violence protection purpose</w:t>
      </w:r>
    </w:p>
    <w:p w14:paraId="562AEDFB" w14:textId="77777777" w:rsidR="0043503F" w:rsidRPr="0043503F" w:rsidRDefault="0043503F" w:rsidP="0095638A">
      <w:pPr>
        <w:pStyle w:val="Body"/>
        <w:spacing w:after="120"/>
        <w:rPr>
          <w:lang w:val="en-AU"/>
        </w:rPr>
      </w:pPr>
      <w:r w:rsidRPr="0043503F">
        <w:t xml:space="preserve">Where a risk of family violence has already been established, an ISE may request and share </w:t>
      </w:r>
      <w:r w:rsidRPr="0043503F">
        <w:lastRenderedPageBreak/>
        <w:t xml:space="preserve">confidential information with another ISE for a family violence protection purpose. An ISE that receives a request must share relevant information provided the </w:t>
      </w:r>
      <w:r w:rsidRPr="0043503F">
        <w:rPr>
          <w:lang w:val="en-AU"/>
        </w:rPr>
        <w:t xml:space="preserve">ISE </w:t>
      </w:r>
      <w:r w:rsidRPr="0043503F">
        <w:rPr>
          <w:b/>
          <w:lang w:val="en-AU"/>
        </w:rPr>
        <w:t>reasonably believes</w:t>
      </w:r>
      <w:r w:rsidRPr="0043503F">
        <w:rPr>
          <w:lang w:val="en-AU"/>
        </w:rPr>
        <w:t xml:space="preserve"> that the disclosure is necessary for a protection purpose and:</w:t>
      </w:r>
    </w:p>
    <w:p w14:paraId="47F89C63" w14:textId="77777777" w:rsidR="0043503F" w:rsidRPr="0043503F" w:rsidRDefault="0043503F" w:rsidP="0095638A">
      <w:pPr>
        <w:pStyle w:val="Body"/>
        <w:numPr>
          <w:ilvl w:val="0"/>
          <w:numId w:val="9"/>
        </w:numPr>
        <w:spacing w:after="120"/>
        <w:ind w:left="284" w:hanging="284"/>
        <w:rPr>
          <w:b/>
          <w:i/>
          <w:lang w:val="en-AU"/>
        </w:rPr>
      </w:pPr>
      <w:r w:rsidRPr="0043503F">
        <w:rPr>
          <w:lang w:val="en-US"/>
        </w:rPr>
        <w:t xml:space="preserve">the </w:t>
      </w:r>
      <w:r w:rsidRPr="0043503F">
        <w:rPr>
          <w:lang w:val="en-AU"/>
        </w:rPr>
        <w:t>information</w:t>
      </w:r>
      <w:r w:rsidRPr="0043503F">
        <w:rPr>
          <w:lang w:val="en-US"/>
        </w:rPr>
        <w:t xml:space="preserve"> is not excluded information </w:t>
      </w:r>
    </w:p>
    <w:p w14:paraId="27945284" w14:textId="77777777" w:rsidR="0043503F" w:rsidRPr="0043503F" w:rsidRDefault="0043503F" w:rsidP="0095638A">
      <w:pPr>
        <w:pStyle w:val="Body"/>
        <w:numPr>
          <w:ilvl w:val="0"/>
          <w:numId w:val="9"/>
        </w:numPr>
        <w:spacing w:after="120"/>
        <w:ind w:left="284" w:hanging="284"/>
        <w:rPr>
          <w:b/>
          <w:i/>
          <w:lang w:val="en-AU"/>
        </w:rPr>
      </w:pPr>
      <w:r w:rsidRPr="0043503F">
        <w:rPr>
          <w:lang w:val="en-US"/>
        </w:rPr>
        <w:t xml:space="preserve">the disclosure </w:t>
      </w:r>
      <w:r w:rsidRPr="0043503F">
        <w:rPr>
          <w:lang w:val="en-AU"/>
        </w:rPr>
        <w:t>does</w:t>
      </w:r>
      <w:r w:rsidRPr="0043503F">
        <w:rPr>
          <w:lang w:val="en-US"/>
        </w:rPr>
        <w:t xml:space="preserve"> not contravene another law</w:t>
      </w:r>
    </w:p>
    <w:p w14:paraId="002E4F8C" w14:textId="77777777" w:rsidR="0043503F" w:rsidRPr="0043503F" w:rsidRDefault="0043503F" w:rsidP="0095638A">
      <w:pPr>
        <w:pStyle w:val="Body"/>
        <w:numPr>
          <w:ilvl w:val="0"/>
          <w:numId w:val="9"/>
        </w:numPr>
        <w:spacing w:after="120"/>
        <w:ind w:left="284" w:hanging="284"/>
        <w:rPr>
          <w:b/>
          <w:i/>
          <w:lang w:val="en-AU"/>
        </w:rPr>
      </w:pPr>
      <w:r w:rsidRPr="0043503F">
        <w:rPr>
          <w:lang w:val="en-US"/>
        </w:rPr>
        <w:t xml:space="preserve">the relevant consent provisions have been adhered to </w:t>
      </w:r>
    </w:p>
    <w:p w14:paraId="0BAE6D2D" w14:textId="77777777" w:rsidR="0043503F" w:rsidRPr="0043503F" w:rsidRDefault="0043503F" w:rsidP="0043503F">
      <w:pPr>
        <w:pStyle w:val="Body"/>
        <w:numPr>
          <w:ilvl w:val="0"/>
          <w:numId w:val="9"/>
        </w:numPr>
        <w:ind w:left="284" w:hanging="284"/>
        <w:rPr>
          <w:b/>
          <w:i/>
          <w:lang w:val="en-AU"/>
        </w:rPr>
      </w:pPr>
      <w:r w:rsidRPr="0043503F">
        <w:rPr>
          <w:lang w:val="en-US"/>
        </w:rPr>
        <w:t xml:space="preserve">the ISE is not acting in in their judicial or quasi-judicial function. </w:t>
      </w:r>
    </w:p>
    <w:p w14:paraId="3D9F1D7C" w14:textId="77777777" w:rsidR="0043503F" w:rsidRPr="0043503F" w:rsidRDefault="0043503F" w:rsidP="0043503F">
      <w:pPr>
        <w:pStyle w:val="Body"/>
      </w:pPr>
      <w:r w:rsidRPr="0043503F">
        <w:t xml:space="preserve">It is important to note that s 144L of the FVP Act </w:t>
      </w:r>
      <w:r w:rsidRPr="0043503F">
        <w:rPr>
          <w:b/>
        </w:rPr>
        <w:t>does not</w:t>
      </w:r>
      <w:r w:rsidRPr="0043503F">
        <w:t xml:space="preserve"> allow the sharing of information about an alleged perpetrator</w:t>
      </w:r>
      <w:r w:rsidRPr="0043503F">
        <w:rPr>
          <w:b/>
        </w:rPr>
        <w:t xml:space="preserve"> </w:t>
      </w:r>
      <w:r w:rsidRPr="0043503F">
        <w:t xml:space="preserve">for a protection purpose, as the family violence risk should already be established and the identity of the perpetrator known. When sharing information about a perpetrator for a protection purpose, </w:t>
      </w:r>
      <w:r w:rsidR="001B1C2A">
        <w:t>an</w:t>
      </w:r>
      <w:r w:rsidR="001B1C2A" w:rsidRPr="0043503F">
        <w:t xml:space="preserve"> </w:t>
      </w:r>
      <w:r w:rsidRPr="0043503F">
        <w:t xml:space="preserve">ISE will need to have established who the perpetrator is and clearly distinguish them from the victim survivor. In determining the identity of a perpetrator, ISEs should refer to Chapter 3 of the Guidelines.  </w:t>
      </w:r>
    </w:p>
    <w:p w14:paraId="1C3AE080" w14:textId="77777777" w:rsidR="0043503F" w:rsidRPr="0043503F" w:rsidRDefault="0043503F" w:rsidP="0043503F">
      <w:pPr>
        <w:pStyle w:val="Body"/>
      </w:pPr>
      <w:r w:rsidRPr="0043503F">
        <w:t xml:space="preserve">Where an ISE receives information for a protection purpose, the confidential information </w:t>
      </w:r>
      <w:r w:rsidRPr="0043503F">
        <w:rPr>
          <w:u w:val="single"/>
        </w:rPr>
        <w:t>may only be used for that purpose</w:t>
      </w:r>
      <w:r w:rsidRPr="0043503F">
        <w:t xml:space="preserve"> unless otherwise permitted by law. Offences for unauthorised disclosures are discussed in Question 17. </w:t>
      </w:r>
    </w:p>
    <w:p w14:paraId="19C35D7A" w14:textId="77777777" w:rsidR="0043503F" w:rsidRPr="0043503F" w:rsidRDefault="0043503F" w:rsidP="0043503F">
      <w:pPr>
        <w:pStyle w:val="SectionHeading2"/>
        <w:numPr>
          <w:ilvl w:val="0"/>
          <w:numId w:val="7"/>
        </w:numPr>
        <w:rPr>
          <w:rFonts w:cs="PostGrotesk-Book"/>
          <w:sz w:val="22"/>
          <w:szCs w:val="22"/>
          <w:lang w:val="en-US"/>
        </w:rPr>
      </w:pPr>
      <w:bookmarkStart w:id="20" w:name="_Toc506975219"/>
      <w:r w:rsidRPr="0043503F">
        <w:rPr>
          <w:rFonts w:cs="PostGrotesk-Book"/>
          <w:sz w:val="22"/>
          <w:szCs w:val="22"/>
          <w:lang w:val="en-US"/>
        </w:rPr>
        <w:t>Can ISEs voluntarily share information with other ISEs or victim survivors?</w:t>
      </w:r>
      <w:bookmarkEnd w:id="20"/>
      <w:r w:rsidRPr="0043503F">
        <w:rPr>
          <w:rFonts w:cs="PostGrotesk-Book"/>
          <w:sz w:val="22"/>
          <w:szCs w:val="22"/>
          <w:lang w:val="en-US"/>
        </w:rPr>
        <w:t xml:space="preserve"> </w:t>
      </w:r>
    </w:p>
    <w:p w14:paraId="76E5D607" w14:textId="77777777" w:rsidR="0043503F" w:rsidRPr="00303C14" w:rsidRDefault="0043503F" w:rsidP="0043503F">
      <w:pPr>
        <w:pStyle w:val="Body"/>
      </w:pPr>
      <w:r w:rsidRPr="00303C14">
        <w:t xml:space="preserve">Yes. The scheme encourages the proactive sharing of information between ISEs. An ISE may </w:t>
      </w:r>
      <w:r w:rsidR="001B1C2A">
        <w:t xml:space="preserve">voluntarily </w:t>
      </w:r>
      <w:r w:rsidRPr="00303C14">
        <w:t>disclose confidential information to a RAE for a risk assessment purpose</w:t>
      </w:r>
      <w:r>
        <w:rPr>
          <w:rStyle w:val="FootnoteReference"/>
          <w:color w:val="4A442A" w:themeColor="background2" w:themeShade="40"/>
        </w:rPr>
        <w:footnoteReference w:id="29"/>
      </w:r>
      <w:r>
        <w:t xml:space="preserve"> </w:t>
      </w:r>
      <w:r w:rsidRPr="00303C14">
        <w:t xml:space="preserve">and may voluntarily disclose confidential information to </w:t>
      </w:r>
      <w:r w:rsidRPr="00303C14">
        <w:lastRenderedPageBreak/>
        <w:t>anothe</w:t>
      </w:r>
      <w:r>
        <w:t>r ISE for a protection purpose</w:t>
      </w:r>
      <w:r w:rsidRPr="00303C14">
        <w:t>.</w:t>
      </w:r>
      <w:r>
        <w:rPr>
          <w:rStyle w:val="FootnoteReference"/>
          <w:color w:val="4A442A" w:themeColor="background2" w:themeShade="40"/>
        </w:rPr>
        <w:footnoteReference w:id="30"/>
      </w:r>
      <w:r w:rsidRPr="00303C14">
        <w:t xml:space="preserve"> Any information shared must not be excluded information and disclosures must be permitted under the con</w:t>
      </w:r>
      <w:r>
        <w:t>sent provisions in Division 5,</w:t>
      </w:r>
      <w:r w:rsidRPr="00303C14">
        <w:t xml:space="preserve"> Part 5A</w:t>
      </w:r>
      <w:r>
        <w:t xml:space="preserve"> of the FVP Act</w:t>
      </w:r>
      <w:r w:rsidRPr="00303C14">
        <w:t xml:space="preserve">. </w:t>
      </w:r>
    </w:p>
    <w:p w14:paraId="6A50BA09" w14:textId="65BCF81D" w:rsidR="0043503F" w:rsidRPr="00303C14" w:rsidRDefault="0043503F" w:rsidP="003D2048">
      <w:pPr>
        <w:pStyle w:val="Body"/>
        <w:keepNext/>
        <w:widowControl/>
        <w:rPr>
          <w:lang w:val="en-AU"/>
        </w:rPr>
      </w:pPr>
      <w:r w:rsidRPr="00303C14">
        <w:rPr>
          <w:lang w:val="en-AU"/>
        </w:rPr>
        <w:t>An ISE may also voluntarily disclose confidential information about a perpetrator to a victim survivor (including a child victim survivor or parent of a child victim survivor, so long as the parent of the child is not a perpetrator), to allow the victim survivor to manage the risk of the person of conc</w:t>
      </w:r>
      <w:r>
        <w:rPr>
          <w:lang w:val="en-AU"/>
        </w:rPr>
        <w:t>ern committing family violence</w:t>
      </w:r>
      <w:r w:rsidRPr="00303C14">
        <w:rPr>
          <w:lang w:val="en-AU"/>
        </w:rPr>
        <w:t>.</w:t>
      </w:r>
      <w:r>
        <w:rPr>
          <w:rStyle w:val="FootnoteReference"/>
          <w:color w:val="4A442A" w:themeColor="background2" w:themeShade="40"/>
          <w:lang w:val="en-AU"/>
        </w:rPr>
        <w:footnoteReference w:id="31"/>
      </w:r>
      <w:r w:rsidRPr="00303C14">
        <w:rPr>
          <w:lang w:val="en-AU"/>
        </w:rPr>
        <w:t xml:space="preserve"> However, a victim survivor may only use this information to manage the risk of family violence. </w:t>
      </w:r>
    </w:p>
    <w:p w14:paraId="35FDCFE6" w14:textId="77777777" w:rsidR="0043503F" w:rsidRPr="00303C14" w:rsidRDefault="0043503F" w:rsidP="00FA5EF0">
      <w:pPr>
        <w:pStyle w:val="Body"/>
        <w:widowControl/>
      </w:pPr>
      <w:r w:rsidRPr="00303C14">
        <w:t>Additionally, ISEs may proactively</w:t>
      </w:r>
      <w:r w:rsidRPr="00303C14">
        <w:rPr>
          <w:b/>
        </w:rPr>
        <w:t xml:space="preserve"> </w:t>
      </w:r>
      <w:r w:rsidRPr="00303C14">
        <w:t xml:space="preserve">disclose confidential information to the CIP in a number of circumstances. For further information on the CIP, see Family Safety Victoria’s </w:t>
      </w:r>
      <w:hyperlink r:id="rId19" w:history="1">
        <w:r w:rsidRPr="0095638A">
          <w:rPr>
            <w:rStyle w:val="Hyperlink"/>
          </w:rPr>
          <w:t>website</w:t>
        </w:r>
      </w:hyperlink>
      <w:r w:rsidRPr="00303C14">
        <w:t xml:space="preserve">. </w:t>
      </w:r>
    </w:p>
    <w:p w14:paraId="651D8238" w14:textId="77777777" w:rsidR="0043503F" w:rsidRPr="0043503F" w:rsidRDefault="0043503F" w:rsidP="0043503F">
      <w:pPr>
        <w:pStyle w:val="SectionHeading1"/>
      </w:pPr>
      <w:bookmarkStart w:id="21" w:name="_Toc506975220"/>
      <w:r w:rsidRPr="0043503F">
        <w:t>Important considerations when sharing information</w:t>
      </w:r>
      <w:bookmarkEnd w:id="21"/>
      <w:r w:rsidRPr="0043503F">
        <w:t xml:space="preserve"> </w:t>
      </w:r>
    </w:p>
    <w:p w14:paraId="38198C1D" w14:textId="77777777" w:rsidR="0043503F" w:rsidRPr="0043503F" w:rsidRDefault="0043503F" w:rsidP="0043503F">
      <w:pPr>
        <w:pStyle w:val="SectionHeading2"/>
        <w:numPr>
          <w:ilvl w:val="0"/>
          <w:numId w:val="7"/>
        </w:numPr>
        <w:rPr>
          <w:rFonts w:cs="PostGrotesk-Book"/>
          <w:sz w:val="22"/>
          <w:szCs w:val="22"/>
          <w:lang w:val="en-US"/>
        </w:rPr>
      </w:pPr>
      <w:bookmarkStart w:id="22" w:name="_Toc506975221"/>
      <w:r w:rsidRPr="0043503F">
        <w:rPr>
          <w:rFonts w:cs="PostGrotesk-Book"/>
          <w:sz w:val="22"/>
          <w:szCs w:val="22"/>
          <w:lang w:val="en-US"/>
        </w:rPr>
        <w:t>Do practitioners need to seek the consent of an individual before sharing information about them?</w:t>
      </w:r>
      <w:bookmarkEnd w:id="22"/>
      <w:r w:rsidRPr="0043503F">
        <w:rPr>
          <w:rFonts w:cs="PostGrotesk-Book"/>
          <w:sz w:val="22"/>
          <w:szCs w:val="22"/>
          <w:lang w:val="en-US"/>
        </w:rPr>
        <w:t xml:space="preserve">  </w:t>
      </w:r>
    </w:p>
    <w:p w14:paraId="47211258" w14:textId="77777777" w:rsidR="0043503F" w:rsidRPr="0043503F" w:rsidRDefault="0043503F" w:rsidP="0095638A">
      <w:pPr>
        <w:pStyle w:val="Body"/>
        <w:spacing w:after="120"/>
      </w:pPr>
      <w:r w:rsidRPr="0043503F">
        <w:rPr>
          <w:u w:val="single"/>
        </w:rPr>
        <w:t>Not in every case.</w:t>
      </w:r>
      <w:r w:rsidRPr="0043503F">
        <w:t xml:space="preserve"> Practitioners should refer to Chapter 9 of the Guidelines </w:t>
      </w:r>
      <w:r w:rsidRPr="0043503F">
        <w:rPr>
          <w:lang w:val="en-AU"/>
        </w:rPr>
        <w:t xml:space="preserve">to help determine whether there is a need to seek consent before sharing information. As an overview: </w:t>
      </w:r>
    </w:p>
    <w:p w14:paraId="5AC9A3B1" w14:textId="77777777" w:rsidR="0043503F" w:rsidRPr="0043503F" w:rsidRDefault="0043503F" w:rsidP="0095638A">
      <w:pPr>
        <w:pStyle w:val="Body"/>
        <w:numPr>
          <w:ilvl w:val="0"/>
          <w:numId w:val="9"/>
        </w:numPr>
        <w:spacing w:after="120"/>
        <w:ind w:left="284" w:hanging="284"/>
        <w:rPr>
          <w:b/>
          <w:lang w:val="en-US"/>
        </w:rPr>
      </w:pPr>
      <w:bookmarkStart w:id="23" w:name="_Toc498695286"/>
      <w:r w:rsidRPr="0043503F">
        <w:rPr>
          <w:lang w:val="en-US"/>
        </w:rPr>
        <w:t>Consent is not required for ISEs to share information about a perpetrator or alleged perpetrator.</w:t>
      </w:r>
      <w:r w:rsidRPr="0043503F">
        <w:rPr>
          <w:vertAlign w:val="superscript"/>
          <w:lang w:val="en-US"/>
        </w:rPr>
        <w:footnoteReference w:id="32"/>
      </w:r>
      <w:bookmarkEnd w:id="23"/>
    </w:p>
    <w:p w14:paraId="0499A275" w14:textId="77777777" w:rsidR="0043503F" w:rsidRPr="0043503F" w:rsidRDefault="0043503F" w:rsidP="0095638A">
      <w:pPr>
        <w:pStyle w:val="Body"/>
        <w:numPr>
          <w:ilvl w:val="0"/>
          <w:numId w:val="9"/>
        </w:numPr>
        <w:spacing w:after="120"/>
        <w:ind w:left="284" w:hanging="284"/>
        <w:rPr>
          <w:b/>
          <w:lang w:val="en-US"/>
        </w:rPr>
      </w:pPr>
      <w:bookmarkStart w:id="24" w:name="_Toc498695287"/>
      <w:r w:rsidRPr="0043503F">
        <w:rPr>
          <w:lang w:val="en-US"/>
        </w:rPr>
        <w:t xml:space="preserve">When sharing information about a </w:t>
      </w:r>
      <w:r w:rsidRPr="0043503F">
        <w:rPr>
          <w:b/>
          <w:lang w:val="en-US"/>
        </w:rPr>
        <w:t>victim survivor who is an adult</w:t>
      </w:r>
      <w:r w:rsidRPr="0043503F">
        <w:rPr>
          <w:lang w:val="en-US"/>
        </w:rPr>
        <w:t>, an ISE should seek the consent of the adult before sharing information.</w:t>
      </w:r>
      <w:r w:rsidRPr="0043503F">
        <w:rPr>
          <w:vertAlign w:val="superscript"/>
          <w:lang w:val="en-US"/>
        </w:rPr>
        <w:footnoteReference w:id="33"/>
      </w:r>
      <w:r w:rsidRPr="0043503F">
        <w:rPr>
          <w:lang w:val="en-US"/>
        </w:rPr>
        <w:t xml:space="preserve"> However, consent is </w:t>
      </w:r>
      <w:r w:rsidRPr="0043503F">
        <w:rPr>
          <w:i/>
          <w:lang w:val="en-US"/>
        </w:rPr>
        <w:t>not</w:t>
      </w:r>
      <w:r w:rsidRPr="0043503F">
        <w:rPr>
          <w:lang w:val="en-US"/>
        </w:rPr>
        <w:t xml:space="preserve"> required if the ISE reasonably believes that </w:t>
      </w:r>
      <w:r w:rsidRPr="0043503F">
        <w:rPr>
          <w:lang w:val="en-US"/>
        </w:rPr>
        <w:lastRenderedPageBreak/>
        <w:t xml:space="preserve">the collection, use or disclosure of the confidential information is necessary to lessen or prevent a serious threat to life, health, safety or welfare, in accordance with </w:t>
      </w:r>
      <w:bookmarkEnd w:id="24"/>
      <w:r w:rsidRPr="0043503F">
        <w:rPr>
          <w:lang w:val="en-US"/>
        </w:rPr>
        <w:t>IPP 2 and HPP2.</w:t>
      </w:r>
    </w:p>
    <w:p w14:paraId="14FA1E3A" w14:textId="77777777" w:rsidR="0043503F" w:rsidRPr="0043503F" w:rsidRDefault="0043503F" w:rsidP="0095638A">
      <w:pPr>
        <w:pStyle w:val="Body"/>
        <w:numPr>
          <w:ilvl w:val="0"/>
          <w:numId w:val="9"/>
        </w:numPr>
        <w:spacing w:after="120"/>
        <w:ind w:left="284" w:hanging="284"/>
        <w:rPr>
          <w:lang w:val="en-US"/>
        </w:rPr>
      </w:pPr>
      <w:r w:rsidRPr="0043503F">
        <w:rPr>
          <w:lang w:val="en-US"/>
        </w:rPr>
        <w:t xml:space="preserve">An ISE should seek the consent of a </w:t>
      </w:r>
      <w:r w:rsidRPr="0043503F">
        <w:rPr>
          <w:b/>
          <w:lang w:val="en-US"/>
        </w:rPr>
        <w:t>linked person</w:t>
      </w:r>
      <w:r w:rsidRPr="0043503F">
        <w:rPr>
          <w:lang w:val="en-US"/>
        </w:rPr>
        <w:t xml:space="preserve"> before sharing confidential information about them.</w:t>
      </w:r>
      <w:r w:rsidRPr="0043503F">
        <w:rPr>
          <w:vertAlign w:val="superscript"/>
          <w:lang w:val="en-US"/>
        </w:rPr>
        <w:footnoteReference w:id="34"/>
      </w:r>
      <w:r w:rsidRPr="0043503F">
        <w:rPr>
          <w:lang w:val="en-US"/>
        </w:rPr>
        <w:t xml:space="preserve"> However, this can be done without consent where an ISE reasonably believes that the disclosure of information is necessary to lessen or prevent a serious threat to an individual’s life, health, safety or welfare. </w:t>
      </w:r>
    </w:p>
    <w:p w14:paraId="5A6641A1" w14:textId="77777777" w:rsidR="0043503F" w:rsidRPr="0043503F" w:rsidRDefault="0043503F" w:rsidP="0043503F">
      <w:pPr>
        <w:pStyle w:val="Body"/>
        <w:numPr>
          <w:ilvl w:val="0"/>
          <w:numId w:val="9"/>
        </w:numPr>
        <w:ind w:left="284" w:hanging="284"/>
        <w:rPr>
          <w:lang w:val="en-AU"/>
        </w:rPr>
      </w:pPr>
      <w:r w:rsidRPr="0043503F">
        <w:rPr>
          <w:lang w:val="en-AU"/>
        </w:rPr>
        <w:t>ISEs may share information without the consent of any person where the</w:t>
      </w:r>
      <w:r w:rsidRPr="0043503F">
        <w:rPr>
          <w:b/>
          <w:lang w:val="en-AU"/>
        </w:rPr>
        <w:t xml:space="preserve"> victim survivor is a child</w:t>
      </w:r>
      <w:r w:rsidRPr="0043503F">
        <w:rPr>
          <w:lang w:val="en-AU"/>
        </w:rPr>
        <w:t xml:space="preserve">, and the information is relevant to assessing or managing the risk of </w:t>
      </w:r>
      <w:r w:rsidRPr="0043503F">
        <w:rPr>
          <w:lang w:val="en-US"/>
        </w:rPr>
        <w:t>family</w:t>
      </w:r>
      <w:r w:rsidRPr="0043503F">
        <w:rPr>
          <w:lang w:val="en-AU"/>
        </w:rPr>
        <w:t xml:space="preserve"> violence posed to the child victim survivor. In this instance, the sharing of information must be necessary for a family violence risk assessment or protection purpose concerning a child victim survivor. An ISE must comply with the Guidelines when sharing confidential information about a child, and practitioners should have regard for the agency of the child and other family members at risk of family violence before sharing information, by ensuring their views are sought and taken into account.</w:t>
      </w:r>
      <w:r w:rsidRPr="0043503F">
        <w:rPr>
          <w:vertAlign w:val="superscript"/>
          <w:lang w:val="en-AU"/>
        </w:rPr>
        <w:footnoteReference w:id="35"/>
      </w:r>
      <w:r w:rsidRPr="0043503F">
        <w:rPr>
          <w:lang w:val="en-AU"/>
        </w:rPr>
        <w:t xml:space="preserve"> </w:t>
      </w:r>
    </w:p>
    <w:p w14:paraId="1FF09DEC" w14:textId="77777777" w:rsidR="0043503F" w:rsidRPr="0043503F" w:rsidRDefault="0043503F" w:rsidP="0043503F">
      <w:pPr>
        <w:pStyle w:val="Body"/>
      </w:pPr>
      <w:r w:rsidRPr="0043503F">
        <w:t xml:space="preserve">It is important to note that under the Regulations, ISEs are required to keep a record of disclosures of confidential information under the scheme, including a record of whether or not consent was gained from a victim survivor who is an adult or a linked person, before sharing confidential information about them. ISEs are also required to keep a record of whether the views of a child victim survivor or their parent were taken into account before sharing information under the scheme. Practitioners </w:t>
      </w:r>
      <w:r w:rsidRPr="0043503F">
        <w:lastRenderedPageBreak/>
        <w:t xml:space="preserve">should refer to Chapter 10 of the Guidelines for further information on recordkeeping. </w:t>
      </w:r>
    </w:p>
    <w:p w14:paraId="6CE737CE" w14:textId="77777777" w:rsidR="0043503F" w:rsidRPr="0043503F" w:rsidRDefault="0043503F" w:rsidP="003D2048">
      <w:pPr>
        <w:pStyle w:val="SectionHeading2"/>
        <w:keepNext/>
        <w:widowControl/>
        <w:numPr>
          <w:ilvl w:val="0"/>
          <w:numId w:val="7"/>
        </w:numPr>
        <w:rPr>
          <w:rFonts w:cs="PostGrotesk-Book"/>
          <w:sz w:val="22"/>
          <w:szCs w:val="22"/>
          <w:lang w:val="en-US"/>
        </w:rPr>
      </w:pPr>
      <w:bookmarkStart w:id="25" w:name="_Toc506975222"/>
      <w:r w:rsidRPr="0043503F">
        <w:rPr>
          <w:rFonts w:cs="PostGrotesk-Book"/>
          <w:sz w:val="22"/>
          <w:szCs w:val="22"/>
          <w:lang w:val="en-US"/>
        </w:rPr>
        <w:t>How does the scheme deal with unauthorised sharing of confidential information?</w:t>
      </w:r>
      <w:bookmarkEnd w:id="25"/>
      <w:r w:rsidRPr="0043503F">
        <w:rPr>
          <w:rFonts w:cs="PostGrotesk-Book"/>
          <w:sz w:val="22"/>
          <w:szCs w:val="22"/>
          <w:lang w:val="en-US"/>
        </w:rPr>
        <w:t xml:space="preserve">  </w:t>
      </w:r>
    </w:p>
    <w:p w14:paraId="7D54C834" w14:textId="77777777" w:rsidR="0043503F" w:rsidRPr="00303C14" w:rsidRDefault="0043503F" w:rsidP="003D2048">
      <w:pPr>
        <w:pStyle w:val="Body"/>
        <w:keepNext/>
        <w:widowControl/>
        <w:rPr>
          <w:lang w:val="en-AU"/>
        </w:rPr>
      </w:pPr>
      <w:r w:rsidRPr="00303C14">
        <w:rPr>
          <w:lang w:val="en-AU"/>
        </w:rPr>
        <w:t>In order to protect confidential information, the scheme includes offences for unauthorised, or intentional or reckless sharing of</w:t>
      </w:r>
      <w:r>
        <w:rPr>
          <w:lang w:val="en-AU"/>
        </w:rPr>
        <w:t xml:space="preserve"> confidential information</w:t>
      </w:r>
      <w:r w:rsidRPr="00303C14">
        <w:rPr>
          <w:lang w:val="en-AU"/>
        </w:rPr>
        <w:t>.</w:t>
      </w:r>
      <w:r>
        <w:rPr>
          <w:rStyle w:val="FootnoteReference"/>
          <w:color w:val="4A442A" w:themeColor="background2" w:themeShade="40"/>
          <w:lang w:val="en-AU"/>
        </w:rPr>
        <w:footnoteReference w:id="36"/>
      </w:r>
      <w:r w:rsidRPr="00303C14">
        <w:rPr>
          <w:lang w:val="en-AU"/>
        </w:rPr>
        <w:t xml:space="preserve"> Unauthorised sharing of information carries a fine of 60 penalty units for individuals (300 for a body corporate), and intentional or reckless sharing of information carries a fine of 600 penalty units and/or up to 5 years imprisonment for individuals (and 3000 penalty units for a body corporate).</w:t>
      </w:r>
    </w:p>
    <w:p w14:paraId="38916229" w14:textId="77777777" w:rsidR="0043503F" w:rsidRPr="00303C14" w:rsidRDefault="0043503F" w:rsidP="0043503F">
      <w:pPr>
        <w:pStyle w:val="Body"/>
        <w:rPr>
          <w:lang w:val="en-AU"/>
        </w:rPr>
      </w:pPr>
      <w:r w:rsidRPr="00303C14">
        <w:rPr>
          <w:lang w:val="en-AU"/>
        </w:rPr>
        <w:t xml:space="preserve">Practitioners will be protected from these offences under the scheme if they acted </w:t>
      </w:r>
      <w:r w:rsidRPr="00F34DD4">
        <w:rPr>
          <w:b/>
          <w:lang w:val="en-AU"/>
        </w:rPr>
        <w:t>i</w:t>
      </w:r>
      <w:r w:rsidRPr="00303C14">
        <w:rPr>
          <w:b/>
          <w:lang w:val="en-AU"/>
        </w:rPr>
        <w:t xml:space="preserve">n good faith and with reasonable care </w:t>
      </w:r>
      <w:r w:rsidRPr="00303C14">
        <w:rPr>
          <w:lang w:val="en-AU"/>
        </w:rPr>
        <w:t>in sharing the confidential information. This protection applies only to individuals and not to organisa</w:t>
      </w:r>
      <w:r>
        <w:rPr>
          <w:lang w:val="en-AU"/>
        </w:rPr>
        <w:t>tions. A practitioner who acts i</w:t>
      </w:r>
      <w:r w:rsidRPr="00303C14">
        <w:rPr>
          <w:lang w:val="en-AU"/>
        </w:rPr>
        <w:t>n good faith and with reasonable care when sharing information will also not be held to have breached any code of professional ethics or to have departed from accepted standards of professional conduct.</w:t>
      </w:r>
      <w:r w:rsidRPr="00303C14">
        <w:rPr>
          <w:rStyle w:val="FootnoteReference"/>
          <w:color w:val="4A442A" w:themeColor="background2" w:themeShade="40"/>
          <w:lang w:val="en-AU"/>
        </w:rPr>
        <w:footnoteReference w:id="37"/>
      </w:r>
      <w:r w:rsidRPr="00303C14">
        <w:rPr>
          <w:lang w:val="en-AU"/>
        </w:rPr>
        <w:t xml:space="preserve"> </w:t>
      </w:r>
    </w:p>
    <w:p w14:paraId="3C6F8EB2" w14:textId="77777777" w:rsidR="0043503F" w:rsidRPr="00303C14" w:rsidRDefault="0043503F" w:rsidP="0043503F">
      <w:pPr>
        <w:pStyle w:val="Body"/>
        <w:rPr>
          <w:lang w:val="en-AU"/>
        </w:rPr>
      </w:pPr>
      <w:r w:rsidRPr="00303C14">
        <w:rPr>
          <w:lang w:val="en-AU"/>
        </w:rPr>
        <w:t xml:space="preserve">A practitioner will not have committed an offence merely for sharing information in a way that is not compliant with the Guidelines. However, non-compliance with the Guidelines may be taken into account where a privacy complaint is made to OVIC or to the HCC. </w:t>
      </w:r>
    </w:p>
    <w:p w14:paraId="1EC2074D" w14:textId="77777777" w:rsidR="0043503F" w:rsidRPr="00303C14" w:rsidRDefault="0043503F" w:rsidP="002D4575">
      <w:pPr>
        <w:pStyle w:val="Body"/>
        <w:keepNext/>
        <w:widowControl/>
      </w:pPr>
      <w:r w:rsidRPr="00303C14">
        <w:rPr>
          <w:lang w:val="en-AU"/>
        </w:rPr>
        <w:t>The enforcement provisions in Division 9 of the PDPA apply to organisations.</w:t>
      </w:r>
      <w:r w:rsidRPr="00303C14">
        <w:t xml:space="preserve"> Where a privacy complaint raises a serious or flagrant breach of privacy by an ISE, OVIC may issue a compliance notice to that ISE under s 78 of the PDPA. It is an offence for an organisation not to comply with a compliance notice, carrying a fine of 600 penalty </w:t>
      </w:r>
      <w:r w:rsidRPr="00303C14">
        <w:lastRenderedPageBreak/>
        <w:t>units for an individual or 3000 penalty units for a body corporate.</w:t>
      </w:r>
      <w:r w:rsidRPr="00303C14">
        <w:rPr>
          <w:vertAlign w:val="superscript"/>
        </w:rPr>
        <w:footnoteReference w:id="38"/>
      </w:r>
      <w:r w:rsidRPr="00303C14">
        <w:t xml:space="preserve"> </w:t>
      </w:r>
    </w:p>
    <w:p w14:paraId="149ED723" w14:textId="77777777" w:rsidR="0043503F" w:rsidRPr="00303C14" w:rsidRDefault="0043503F" w:rsidP="0043503F">
      <w:pPr>
        <w:pStyle w:val="Body"/>
      </w:pPr>
      <w:r w:rsidRPr="00303C14">
        <w:t>The HCC may also serve a compliance notice on organisations for serious or flagrant contraventions of the HRA under s 66 of the HRA. It is an offence not to comply with a compliance notice, carrying a fine of 3000 penalty units for a body corporate or 600 penalty units in any other case.</w:t>
      </w:r>
      <w:r w:rsidRPr="00303C14">
        <w:rPr>
          <w:vertAlign w:val="superscript"/>
        </w:rPr>
        <w:footnoteReference w:id="39"/>
      </w:r>
      <w:r w:rsidRPr="00303C14">
        <w:t xml:space="preserve"> </w:t>
      </w:r>
    </w:p>
    <w:p w14:paraId="2CB01C1A" w14:textId="77777777" w:rsidR="0043503F" w:rsidRPr="0043503F" w:rsidRDefault="0043503F" w:rsidP="0043503F">
      <w:pPr>
        <w:pStyle w:val="SectionHeading2"/>
        <w:numPr>
          <w:ilvl w:val="0"/>
          <w:numId w:val="7"/>
        </w:numPr>
        <w:rPr>
          <w:rFonts w:cs="PostGrotesk-Book"/>
          <w:sz w:val="22"/>
          <w:szCs w:val="22"/>
          <w:lang w:val="en-US"/>
        </w:rPr>
      </w:pPr>
      <w:bookmarkStart w:id="26" w:name="_Toc506975223"/>
      <w:r w:rsidRPr="0043503F">
        <w:rPr>
          <w:rFonts w:cs="PostGrotesk-Book"/>
          <w:sz w:val="22"/>
          <w:szCs w:val="22"/>
          <w:lang w:val="en-US"/>
        </w:rPr>
        <w:t>What can an individual do if they believe their information has been shared inappropriately?</w:t>
      </w:r>
      <w:bookmarkEnd w:id="26"/>
      <w:r w:rsidRPr="0043503F">
        <w:rPr>
          <w:rFonts w:cs="PostGrotesk-Book"/>
          <w:sz w:val="22"/>
          <w:szCs w:val="22"/>
          <w:lang w:val="en-US"/>
        </w:rPr>
        <w:t xml:space="preserve">  </w:t>
      </w:r>
    </w:p>
    <w:p w14:paraId="7B32E8BC" w14:textId="77777777" w:rsidR="0043503F" w:rsidRPr="00303C14" w:rsidRDefault="0043503F" w:rsidP="0043503F">
      <w:pPr>
        <w:pStyle w:val="Body"/>
        <w:rPr>
          <w:lang w:val="en-AU"/>
        </w:rPr>
      </w:pPr>
      <w:r w:rsidRPr="00303C14">
        <w:t xml:space="preserve">If an individual believes that their personal </w:t>
      </w:r>
      <w:r>
        <w:t xml:space="preserve">information </w:t>
      </w:r>
      <w:r w:rsidRPr="00303C14">
        <w:t>or health information has been mishandled under the scheme, they can make a privacy complaint. OVIC can deal with complaints concerning a breach of one or mo</w:t>
      </w:r>
      <w:r>
        <w:t xml:space="preserve">re of the IPPs under the PDPA. </w:t>
      </w:r>
      <w:r w:rsidRPr="00303C14">
        <w:t xml:space="preserve">Individuals can complain to the HCC where they suspect a breach involving their health information. </w:t>
      </w:r>
      <w:r w:rsidRPr="00303C14">
        <w:rPr>
          <w:lang w:val="en-AU"/>
        </w:rPr>
        <w:t xml:space="preserve">Complaints should be directed to the relevant ISE in the first instance before a formal, written complaint is lodged with </w:t>
      </w:r>
      <w:r w:rsidR="009024FF">
        <w:rPr>
          <w:lang w:val="en-AU"/>
        </w:rPr>
        <w:t xml:space="preserve">either </w:t>
      </w:r>
      <w:r w:rsidRPr="00303C14">
        <w:rPr>
          <w:lang w:val="en-AU"/>
        </w:rPr>
        <w:t xml:space="preserve">OVIC or the HCC.  </w:t>
      </w:r>
    </w:p>
    <w:p w14:paraId="6B176596" w14:textId="77777777" w:rsidR="0043503F" w:rsidRPr="00303C14" w:rsidRDefault="0043503F" w:rsidP="0043503F">
      <w:pPr>
        <w:pStyle w:val="Body"/>
        <w:rPr>
          <w:lang w:val="en-AU"/>
        </w:rPr>
      </w:pPr>
      <w:r w:rsidRPr="00303C14">
        <w:rPr>
          <w:lang w:val="en-AU"/>
        </w:rPr>
        <w:t xml:space="preserve">OVIC and the HCC can only deal with complaints about an entity that falls within the scope of the PDPA or the HRA respectively. If a person has a privacy complaint regarding the handling of their personal </w:t>
      </w:r>
      <w:r>
        <w:rPr>
          <w:lang w:val="en-AU"/>
        </w:rPr>
        <w:t xml:space="preserve">information </w:t>
      </w:r>
      <w:r w:rsidRPr="00303C14">
        <w:rPr>
          <w:lang w:val="en-AU"/>
        </w:rPr>
        <w:t xml:space="preserve">or health information by an entity covered by the </w:t>
      </w:r>
      <w:r w:rsidRPr="00303C14">
        <w:rPr>
          <w:i/>
          <w:lang w:val="en-AU"/>
        </w:rPr>
        <w:t>Privacy Act</w:t>
      </w:r>
      <w:r w:rsidRPr="00303C14">
        <w:rPr>
          <w:lang w:val="en-AU"/>
        </w:rPr>
        <w:t xml:space="preserve"> </w:t>
      </w:r>
      <w:r w:rsidRPr="00303C14">
        <w:rPr>
          <w:i/>
          <w:lang w:val="en-AU"/>
        </w:rPr>
        <w:t>1988</w:t>
      </w:r>
      <w:r w:rsidRPr="00303C14">
        <w:rPr>
          <w:lang w:val="en-AU"/>
        </w:rPr>
        <w:t xml:space="preserve">, the complaint should be directed to the </w:t>
      </w:r>
      <w:hyperlink r:id="rId20" w:history="1">
        <w:r w:rsidRPr="0095638A">
          <w:rPr>
            <w:rStyle w:val="Hyperlink"/>
          </w:rPr>
          <w:t>Office of the Australian Information Commissioner</w:t>
        </w:r>
      </w:hyperlink>
      <w:r w:rsidRPr="00303C14">
        <w:rPr>
          <w:lang w:val="en-AU"/>
        </w:rPr>
        <w:t xml:space="preserve">. </w:t>
      </w:r>
    </w:p>
    <w:p w14:paraId="7BA11DE8" w14:textId="77777777" w:rsidR="0043503F" w:rsidRDefault="0043503F" w:rsidP="0043503F">
      <w:pPr>
        <w:pStyle w:val="Body"/>
        <w:rPr>
          <w:lang w:val="en-AU"/>
        </w:rPr>
      </w:pPr>
      <w:r w:rsidRPr="00303C14">
        <w:rPr>
          <w:lang w:val="en-AU"/>
        </w:rPr>
        <w:t xml:space="preserve">Organisations and individuals can refer to the OVIC website or HCC website for </w:t>
      </w:r>
      <w:r w:rsidRPr="00303C14">
        <w:t>guidance</w:t>
      </w:r>
      <w:r w:rsidRPr="00303C14">
        <w:rPr>
          <w:lang w:val="en-AU"/>
        </w:rPr>
        <w:t xml:space="preserve"> on how to make a complaint, and may contact each office for further assistance.  </w:t>
      </w:r>
    </w:p>
    <w:p w14:paraId="6F053534" w14:textId="05D697E3" w:rsidR="007A6656" w:rsidRPr="007A6656" w:rsidRDefault="007A6656" w:rsidP="00C212D5">
      <w:pPr>
        <w:pStyle w:val="Body"/>
        <w:keepNext/>
        <w:widowControl/>
        <w:rPr>
          <w:i/>
          <w:lang w:val="en-AU"/>
        </w:rPr>
      </w:pPr>
      <w:r w:rsidRPr="007A6656">
        <w:rPr>
          <w:i/>
          <w:lang w:val="en-AU"/>
        </w:rPr>
        <w:t xml:space="preserve">This document </w:t>
      </w:r>
      <w:r w:rsidR="007C54F4">
        <w:rPr>
          <w:i/>
          <w:lang w:val="en-AU"/>
        </w:rPr>
        <w:t>should</w:t>
      </w:r>
      <w:r w:rsidRPr="007A6656">
        <w:rPr>
          <w:i/>
          <w:lang w:val="en-AU"/>
        </w:rPr>
        <w:t xml:space="preserve"> be read with Family Safety Victoria’s Ministerial </w:t>
      </w:r>
      <w:r w:rsidR="00C212D5" w:rsidRPr="00FA6F27">
        <w:rPr>
          <w:i/>
          <w:u w:color="430098"/>
          <w:lang w:val="en-AU"/>
        </w:rPr>
        <w:t>Guidelines</w:t>
      </w:r>
      <w:r w:rsidRPr="007A6656">
        <w:rPr>
          <w:i/>
          <w:lang w:val="en-AU"/>
        </w:rPr>
        <w:t xml:space="preserve"> on the scheme. </w:t>
      </w:r>
      <w:r w:rsidR="00FA6F27">
        <w:rPr>
          <w:i/>
          <w:lang w:val="en-AU"/>
        </w:rPr>
        <w:lastRenderedPageBreak/>
        <w:t xml:space="preserve">For more information on the scheme, please refer to the </w:t>
      </w:r>
      <w:hyperlink r:id="rId21" w:history="1">
        <w:r w:rsidR="00FA6F27" w:rsidRPr="00BA5E93">
          <w:rPr>
            <w:rStyle w:val="Hyperlink"/>
            <w:i/>
            <w:lang w:val="en-AU"/>
          </w:rPr>
          <w:t>Guidelines</w:t>
        </w:r>
      </w:hyperlink>
      <w:r w:rsidR="00FA6F27">
        <w:rPr>
          <w:i/>
          <w:lang w:val="en-AU"/>
        </w:rPr>
        <w:t>.</w:t>
      </w:r>
    </w:p>
    <w:p w14:paraId="35D709B2" w14:textId="77777777" w:rsidR="0059602C" w:rsidRDefault="0059602C" w:rsidP="0043503F">
      <w:pPr>
        <w:pStyle w:val="SectionHeading1"/>
        <w:rPr>
          <w:lang w:val="en-AU"/>
        </w:rPr>
      </w:pPr>
      <w:bookmarkStart w:id="27" w:name="_Toc506975224"/>
    </w:p>
    <w:p w14:paraId="7364EA8A" w14:textId="77777777" w:rsidR="00FA6F27" w:rsidRDefault="00FA6F27">
      <w:pPr>
        <w:rPr>
          <w:rFonts w:cs="PostGrotesk-Medium"/>
          <w:color w:val="430098"/>
          <w:sz w:val="26"/>
          <w:szCs w:val="28"/>
          <w:lang w:val="en-AU"/>
        </w:rPr>
      </w:pPr>
      <w:r>
        <w:rPr>
          <w:lang w:val="en-AU"/>
        </w:rPr>
        <w:br w:type="page"/>
      </w:r>
    </w:p>
    <w:p w14:paraId="159BCA9B" w14:textId="174CABBB" w:rsidR="0043503F" w:rsidRPr="0043503F" w:rsidRDefault="0043503F" w:rsidP="0043503F">
      <w:pPr>
        <w:pStyle w:val="SectionHeading1"/>
        <w:rPr>
          <w:lang w:val="en-AU"/>
        </w:rPr>
      </w:pPr>
      <w:r>
        <w:rPr>
          <w:lang w:val="en-AU"/>
        </w:rPr>
        <w:lastRenderedPageBreak/>
        <w:t>Appendices</w:t>
      </w:r>
      <w:bookmarkEnd w:id="27"/>
      <w:r>
        <w:rPr>
          <w:lang w:val="en-AU"/>
        </w:rPr>
        <w:t xml:space="preserve"> </w:t>
      </w:r>
    </w:p>
    <w:p w14:paraId="14B86717" w14:textId="77777777" w:rsidR="0043503F" w:rsidRPr="0043503F" w:rsidRDefault="0043503F" w:rsidP="0043503F">
      <w:pPr>
        <w:pStyle w:val="SectionHeading2"/>
      </w:pPr>
      <w:bookmarkStart w:id="28" w:name="_Toc506975225"/>
      <w:r w:rsidRPr="0043503F">
        <w:t>Appendix A: Useful terms and acronyms</w:t>
      </w:r>
      <w:bookmarkEnd w:id="28"/>
    </w:p>
    <w:p w14:paraId="01579B7A" w14:textId="77777777" w:rsidR="0043503F" w:rsidRPr="0043503F" w:rsidRDefault="00450FBB" w:rsidP="0043503F">
      <w:pPr>
        <w:pStyle w:val="Body"/>
      </w:pPr>
      <w:r>
        <w:rPr>
          <w:i/>
        </w:rPr>
        <w:t xml:space="preserve">An </w:t>
      </w:r>
      <w:r>
        <w:rPr>
          <w:b/>
          <w:i/>
        </w:rPr>
        <w:t>alleged perpetrator</w:t>
      </w:r>
      <w:r w:rsidR="0043503F" w:rsidRPr="0043503F">
        <w:rPr>
          <w:b/>
          <w:i/>
        </w:rPr>
        <w:t xml:space="preserve"> </w:t>
      </w:r>
      <w:r w:rsidR="0043503F" w:rsidRPr="0043503F">
        <w:t xml:space="preserve">is a person who is alleged to pose a risk of committing family violence. </w:t>
      </w:r>
    </w:p>
    <w:p w14:paraId="18F43AB0" w14:textId="77777777" w:rsidR="0043503F" w:rsidRPr="0043503F" w:rsidRDefault="00450FBB" w:rsidP="0043503F">
      <w:pPr>
        <w:pStyle w:val="Body"/>
      </w:pPr>
      <w:r>
        <w:rPr>
          <w:i/>
        </w:rPr>
        <w:t xml:space="preserve">The </w:t>
      </w:r>
      <w:r>
        <w:rPr>
          <w:b/>
          <w:i/>
        </w:rPr>
        <w:t>C</w:t>
      </w:r>
      <w:r w:rsidR="0043503F" w:rsidRPr="0043503F">
        <w:rPr>
          <w:b/>
          <w:i/>
        </w:rPr>
        <w:t>entral Information Point (CIP)</w:t>
      </w:r>
      <w:r w:rsidR="0043503F" w:rsidRPr="0043503F">
        <w:t xml:space="preserve"> is a secure, state-wide service that will collate information relevant to family violence risk assessment and risk management. </w:t>
      </w:r>
    </w:p>
    <w:p w14:paraId="6C7C4196" w14:textId="77777777" w:rsidR="0043503F" w:rsidRPr="0043503F" w:rsidRDefault="0043503F" w:rsidP="0043503F">
      <w:pPr>
        <w:pStyle w:val="Body"/>
      </w:pPr>
      <w:r w:rsidRPr="0043503F">
        <w:rPr>
          <w:b/>
          <w:i/>
        </w:rPr>
        <w:t>Confidential information</w:t>
      </w:r>
      <w:r w:rsidRPr="0043503F">
        <w:t xml:space="preserve"> includes </w:t>
      </w:r>
      <w:r w:rsidRPr="0043503F">
        <w:rPr>
          <w:lang w:val="en-AU"/>
        </w:rPr>
        <w:t>health information and identifiers for the purposes of the HRA</w:t>
      </w:r>
      <w:r w:rsidRPr="0043503F">
        <w:t xml:space="preserve"> and </w:t>
      </w:r>
      <w:r w:rsidRPr="0043503F">
        <w:rPr>
          <w:lang w:val="en-AU"/>
        </w:rPr>
        <w:t xml:space="preserve">personal information for the purposes of the PDPA, including sensitive information, identifiers and unique identifiers, under s 144A of the FVP Act.  </w:t>
      </w:r>
    </w:p>
    <w:p w14:paraId="75ED000D" w14:textId="77777777" w:rsidR="0043503F" w:rsidRPr="0043503F" w:rsidRDefault="0043503F" w:rsidP="0043503F">
      <w:pPr>
        <w:pStyle w:val="Body"/>
      </w:pPr>
      <w:r w:rsidRPr="0043503F">
        <w:rPr>
          <w:b/>
          <w:i/>
        </w:rPr>
        <w:t>Family violence assessment purpose</w:t>
      </w:r>
      <w:r w:rsidR="00450FBB">
        <w:t xml:space="preserve"> i</w:t>
      </w:r>
      <w:r w:rsidRPr="0043503F">
        <w:t xml:space="preserve">s defined under s 144A of the FVP Act to mean the purpose of establishing or assessing the risk of a person committing family violence or a person being subjected to family violence. </w:t>
      </w:r>
    </w:p>
    <w:p w14:paraId="2027F22E" w14:textId="77777777" w:rsidR="0043503F" w:rsidRPr="0043503F" w:rsidRDefault="0043503F" w:rsidP="0043503F">
      <w:pPr>
        <w:pStyle w:val="Body"/>
      </w:pPr>
      <w:r w:rsidRPr="0043503F">
        <w:rPr>
          <w:b/>
          <w:i/>
        </w:rPr>
        <w:t>Family violence protection purpose</w:t>
      </w:r>
      <w:r w:rsidR="00450FBB">
        <w:t xml:space="preserve"> i</w:t>
      </w:r>
      <w:r w:rsidRPr="0043503F">
        <w:t xml:space="preserve">s defined under s 144A of the FVP Act to mean the purpose of managing a risk of a person committing family violence (including the ongoing assessment of the risk of the person committing family violence) or a person being subjected to family violence (including the ongoing assessment of the risk of the person being subjected to family violence). </w:t>
      </w:r>
    </w:p>
    <w:p w14:paraId="37828123" w14:textId="77777777" w:rsidR="0043503F" w:rsidRPr="0043503F" w:rsidRDefault="0043503F" w:rsidP="0043503F">
      <w:pPr>
        <w:pStyle w:val="Body"/>
      </w:pPr>
      <w:r w:rsidRPr="0043503F">
        <w:rPr>
          <w:b/>
          <w:i/>
        </w:rPr>
        <w:t>Information sharing entity (ISE)</w:t>
      </w:r>
      <w:r w:rsidR="00450FBB">
        <w:rPr>
          <w:i/>
        </w:rPr>
        <w:t xml:space="preserve"> </w:t>
      </w:r>
      <w:r w:rsidRPr="0043503F">
        <w:t xml:space="preserve">is defined under s 144D of the FVP Act to be a person or body prescribed, or a class of person or body prescribed, to be an information sharing entity. </w:t>
      </w:r>
    </w:p>
    <w:p w14:paraId="24A0FEEC" w14:textId="77777777" w:rsidR="0043503F" w:rsidRPr="0043503F" w:rsidRDefault="0043503F" w:rsidP="0043503F">
      <w:pPr>
        <w:pStyle w:val="Body"/>
      </w:pPr>
      <w:r w:rsidRPr="0043503F">
        <w:rPr>
          <w:b/>
          <w:i/>
        </w:rPr>
        <w:t>Linked person</w:t>
      </w:r>
      <w:r w:rsidR="00450FBB">
        <w:rPr>
          <w:b/>
          <w:i/>
        </w:rPr>
        <w:t xml:space="preserve"> </w:t>
      </w:r>
      <w:r w:rsidRPr="0043503F">
        <w:t xml:space="preserve">is defined under s 144A of the FVP Act as any person whose confidential information is relevant to a family violence assessment purpose or family violence protection purpose other than a person who is a victim survivor, or a perpetrator or alleged perpetrator. </w:t>
      </w:r>
    </w:p>
    <w:p w14:paraId="4F606A17" w14:textId="77777777" w:rsidR="0043503F" w:rsidRPr="0043503F" w:rsidRDefault="00450FBB" w:rsidP="00FA5EF0">
      <w:pPr>
        <w:pStyle w:val="Body"/>
        <w:widowControl/>
      </w:pPr>
      <w:r>
        <w:rPr>
          <w:b/>
          <w:i/>
        </w:rPr>
        <w:t>Perpetrator</w:t>
      </w:r>
      <w:r w:rsidR="0043503F" w:rsidRPr="0043503F">
        <w:rPr>
          <w:b/>
          <w:i/>
        </w:rPr>
        <w:t xml:space="preserve"> </w:t>
      </w:r>
      <w:r w:rsidR="0043503F" w:rsidRPr="0043503F">
        <w:t xml:space="preserve">is defined as a </w:t>
      </w:r>
      <w:r w:rsidR="0043503F" w:rsidRPr="0043503F">
        <w:rPr>
          <w:bCs/>
          <w:iCs/>
        </w:rPr>
        <w:t xml:space="preserve">person of concern under s 144B of the FVP Act </w:t>
      </w:r>
      <w:r w:rsidR="0043503F" w:rsidRPr="0043503F">
        <w:t xml:space="preserve">if an information </w:t>
      </w:r>
      <w:r w:rsidR="0043503F" w:rsidRPr="0043503F">
        <w:lastRenderedPageBreak/>
        <w:t xml:space="preserve">sharing entity reasonably believes that there is a risk that the person may commit family violence. </w:t>
      </w:r>
    </w:p>
    <w:p w14:paraId="40D2E3B3" w14:textId="77777777" w:rsidR="0043503F" w:rsidRPr="0043503F" w:rsidRDefault="00450FBB" w:rsidP="0043503F">
      <w:pPr>
        <w:pStyle w:val="Body"/>
      </w:pPr>
      <w:r>
        <w:rPr>
          <w:i/>
        </w:rPr>
        <w:t xml:space="preserve">A </w:t>
      </w:r>
      <w:r>
        <w:rPr>
          <w:b/>
          <w:i/>
        </w:rPr>
        <w:t>r</w:t>
      </w:r>
      <w:r w:rsidR="0043503F" w:rsidRPr="0043503F">
        <w:rPr>
          <w:b/>
          <w:i/>
        </w:rPr>
        <w:t>isk assessment entity (RAE)</w:t>
      </w:r>
      <w:r>
        <w:rPr>
          <w:i/>
        </w:rPr>
        <w:t xml:space="preserve"> </w:t>
      </w:r>
      <w:r>
        <w:t>is a</w:t>
      </w:r>
      <w:r w:rsidR="0043503F" w:rsidRPr="0043503F">
        <w:t>n information sharing entity prescribed to be a risk assessment entit</w:t>
      </w:r>
      <w:r>
        <w:t>y. Risk assessment entities</w:t>
      </w:r>
      <w:r w:rsidR="0043503F" w:rsidRPr="0043503F">
        <w:t xml:space="preserve"> can request and receive </w:t>
      </w:r>
      <w:r>
        <w:t>voluntary disclosures</w:t>
      </w:r>
      <w:r w:rsidR="0043503F" w:rsidRPr="0043503F">
        <w:t xml:space="preserve"> from ISEs for a family violence assessment purpose. </w:t>
      </w:r>
    </w:p>
    <w:p w14:paraId="757620B7" w14:textId="77777777" w:rsidR="0043503F" w:rsidRPr="0043503F" w:rsidRDefault="0043503F" w:rsidP="0043503F">
      <w:pPr>
        <w:pStyle w:val="Body"/>
      </w:pPr>
      <w:r w:rsidRPr="0043503F">
        <w:rPr>
          <w:b/>
          <w:i/>
        </w:rPr>
        <w:t>Share</w:t>
      </w:r>
      <w:r w:rsidR="00450FBB">
        <w:t>,</w:t>
      </w:r>
      <w:r w:rsidRPr="0043503F">
        <w:t xml:space="preserve"> for the purposes of this document and the Guidelines, means the collection use and disclosure of information. </w:t>
      </w:r>
    </w:p>
    <w:p w14:paraId="4FD212C0" w14:textId="77777777" w:rsidR="0043503F" w:rsidRPr="0043503F" w:rsidRDefault="0043503F" w:rsidP="0043503F">
      <w:pPr>
        <w:pStyle w:val="Body"/>
      </w:pPr>
      <w:r w:rsidRPr="0043503F">
        <w:rPr>
          <w:b/>
          <w:i/>
        </w:rPr>
        <w:t>Victim su</w:t>
      </w:r>
      <w:r w:rsidR="00450FBB">
        <w:rPr>
          <w:b/>
          <w:i/>
        </w:rPr>
        <w:t>rvivor</w:t>
      </w:r>
      <w:r w:rsidRPr="0043503F">
        <w:rPr>
          <w:b/>
          <w:i/>
        </w:rPr>
        <w:t xml:space="preserve"> </w:t>
      </w:r>
      <w:r w:rsidR="00450FBB">
        <w:t xml:space="preserve">is </w:t>
      </w:r>
      <w:r w:rsidR="00450FBB" w:rsidRPr="0043503F">
        <w:t>defined in s 144E of the FVP Act as a person that an information sharing entity reasonably believes as at risk of being subjected to family violence.</w:t>
      </w:r>
      <w:r w:rsidR="00450FBB">
        <w:t xml:space="preserve"> Victim survivors are</w:t>
      </w:r>
      <w:r w:rsidR="00450FBB" w:rsidRPr="0043503F">
        <w:rPr>
          <w:b/>
          <w:i/>
        </w:rPr>
        <w:t xml:space="preserve"> </w:t>
      </w:r>
      <w:r w:rsidR="00450FBB" w:rsidRPr="0043503F">
        <w:t>referred to as primary person</w:t>
      </w:r>
      <w:r w:rsidR="00450FBB">
        <w:t>s</w:t>
      </w:r>
      <w:r w:rsidR="00450FBB" w:rsidRPr="0043503F">
        <w:t xml:space="preserve"> (adult or child) under the Amending Act</w:t>
      </w:r>
      <w:r w:rsidR="00450FBB">
        <w:t>.</w:t>
      </w:r>
    </w:p>
    <w:p w14:paraId="49263CC5" w14:textId="77777777" w:rsidR="00053275" w:rsidRDefault="00053275" w:rsidP="0043503F">
      <w:pPr>
        <w:pStyle w:val="SectionHeading2"/>
      </w:pPr>
      <w:bookmarkStart w:id="29" w:name="_Toc506975226"/>
    </w:p>
    <w:p w14:paraId="5AF6366B" w14:textId="77777777" w:rsidR="00053275" w:rsidRDefault="00053275" w:rsidP="0043503F">
      <w:pPr>
        <w:pStyle w:val="SectionHeading2"/>
      </w:pPr>
    </w:p>
    <w:p w14:paraId="32929371" w14:textId="77777777" w:rsidR="00053275" w:rsidRDefault="00053275" w:rsidP="0043503F">
      <w:pPr>
        <w:pStyle w:val="SectionHeading2"/>
      </w:pPr>
    </w:p>
    <w:p w14:paraId="3C2F3775" w14:textId="77777777" w:rsidR="00053275" w:rsidRDefault="00053275" w:rsidP="0043503F">
      <w:pPr>
        <w:pStyle w:val="SectionHeading2"/>
      </w:pPr>
    </w:p>
    <w:p w14:paraId="7A6F626F" w14:textId="77777777" w:rsidR="00053275" w:rsidRDefault="00053275" w:rsidP="0043503F">
      <w:pPr>
        <w:pStyle w:val="SectionHeading2"/>
      </w:pPr>
    </w:p>
    <w:p w14:paraId="1E2041D9" w14:textId="77777777" w:rsidR="00053275" w:rsidRDefault="00053275" w:rsidP="0043503F">
      <w:pPr>
        <w:pStyle w:val="SectionHeading2"/>
      </w:pPr>
    </w:p>
    <w:p w14:paraId="568AEFAE" w14:textId="77777777" w:rsidR="00053275" w:rsidRDefault="00053275" w:rsidP="0043503F">
      <w:pPr>
        <w:pStyle w:val="SectionHeading2"/>
      </w:pPr>
    </w:p>
    <w:p w14:paraId="2B19DBDA" w14:textId="77777777" w:rsidR="00053275" w:rsidRDefault="00053275" w:rsidP="0043503F">
      <w:pPr>
        <w:pStyle w:val="SectionHeading2"/>
      </w:pPr>
    </w:p>
    <w:p w14:paraId="1A13F46B" w14:textId="77777777" w:rsidR="00053275" w:rsidRDefault="00053275" w:rsidP="0043503F">
      <w:pPr>
        <w:pStyle w:val="SectionHeading2"/>
      </w:pPr>
    </w:p>
    <w:p w14:paraId="0A946585" w14:textId="77777777" w:rsidR="00053275" w:rsidRDefault="00053275" w:rsidP="0043503F">
      <w:pPr>
        <w:pStyle w:val="SectionHeading2"/>
      </w:pPr>
    </w:p>
    <w:p w14:paraId="7A075F14" w14:textId="77777777" w:rsidR="00053275" w:rsidRDefault="00053275" w:rsidP="0043503F">
      <w:pPr>
        <w:pStyle w:val="SectionHeading2"/>
      </w:pPr>
    </w:p>
    <w:p w14:paraId="07D77236" w14:textId="77777777" w:rsidR="00053275" w:rsidRDefault="00053275" w:rsidP="0043503F">
      <w:pPr>
        <w:pStyle w:val="SectionHeading2"/>
      </w:pPr>
    </w:p>
    <w:p w14:paraId="6F45437A" w14:textId="77777777" w:rsidR="00053275" w:rsidRDefault="00053275" w:rsidP="0043503F">
      <w:pPr>
        <w:pStyle w:val="SectionHeading2"/>
      </w:pPr>
    </w:p>
    <w:p w14:paraId="4F3A928F" w14:textId="77777777" w:rsidR="00053275" w:rsidRDefault="00053275" w:rsidP="0043503F">
      <w:pPr>
        <w:pStyle w:val="SectionHeading2"/>
      </w:pPr>
    </w:p>
    <w:p w14:paraId="15155FE1" w14:textId="77777777" w:rsidR="00053275" w:rsidRDefault="00053275" w:rsidP="0043503F">
      <w:pPr>
        <w:pStyle w:val="SectionHeading2"/>
      </w:pPr>
    </w:p>
    <w:p w14:paraId="700BEBBD" w14:textId="77777777" w:rsidR="00053275" w:rsidRDefault="00053275" w:rsidP="0043503F">
      <w:pPr>
        <w:pStyle w:val="SectionHeading2"/>
      </w:pPr>
    </w:p>
    <w:p w14:paraId="145FA9EC" w14:textId="77777777" w:rsidR="0000794D" w:rsidRDefault="0000794D" w:rsidP="0043503F">
      <w:pPr>
        <w:pStyle w:val="SectionHeading2"/>
      </w:pPr>
    </w:p>
    <w:p w14:paraId="35068ABE" w14:textId="77777777" w:rsidR="00450FBB" w:rsidRDefault="00450FBB">
      <w:pPr>
        <w:rPr>
          <w:rFonts w:cs="PostGrotesk-Medium"/>
          <w:b/>
          <w:color w:val="55565A"/>
        </w:rPr>
      </w:pPr>
      <w:r>
        <w:br w:type="page"/>
      </w:r>
    </w:p>
    <w:p w14:paraId="570563DA" w14:textId="77777777" w:rsidR="0043503F" w:rsidRPr="0043503F" w:rsidRDefault="0043503F" w:rsidP="0043503F">
      <w:pPr>
        <w:pStyle w:val="SectionHeading2"/>
      </w:pPr>
      <w:r w:rsidRPr="0043503F">
        <w:lastRenderedPageBreak/>
        <w:t>Appendix B: Key resources</w:t>
      </w:r>
      <w:bookmarkEnd w:id="29"/>
      <w:r w:rsidRPr="0043503F">
        <w:t xml:space="preserve"> </w:t>
      </w:r>
    </w:p>
    <w:p w14:paraId="04D49151" w14:textId="77777777" w:rsidR="0043503F" w:rsidRPr="0043503F" w:rsidRDefault="0043503F" w:rsidP="0095638A">
      <w:pPr>
        <w:pStyle w:val="Body"/>
        <w:spacing w:after="120"/>
      </w:pPr>
      <w:r w:rsidRPr="0043503F">
        <w:t>The following is a list of</w:t>
      </w:r>
      <w:r w:rsidR="0095638A">
        <w:t xml:space="preserve"> key resources available on OVIC’s</w:t>
      </w:r>
      <w:r w:rsidRPr="0043503F">
        <w:t xml:space="preserve"> </w:t>
      </w:r>
      <w:hyperlink r:id="rId22" w:history="1">
        <w:r w:rsidRPr="0095638A">
          <w:rPr>
            <w:rStyle w:val="Hyperlink"/>
          </w:rPr>
          <w:t>website</w:t>
        </w:r>
      </w:hyperlink>
      <w:r w:rsidR="0095638A">
        <w:t xml:space="preserve">. </w:t>
      </w:r>
      <w:r w:rsidRPr="0043503F">
        <w:t xml:space="preserve">Prescribed ISEs should refer to these resources for more information on their overarching privacy obligations, drafting a privacy policy or collection notice, undertaking privacy impact assessments and understanding their data security obligations. </w:t>
      </w:r>
    </w:p>
    <w:p w14:paraId="69D79236" w14:textId="77777777" w:rsidR="0043503F" w:rsidRPr="0095638A" w:rsidRDefault="0043503F" w:rsidP="0095638A">
      <w:pPr>
        <w:pStyle w:val="Body"/>
        <w:numPr>
          <w:ilvl w:val="0"/>
          <w:numId w:val="9"/>
        </w:numPr>
        <w:spacing w:after="120"/>
        <w:ind w:left="284" w:hanging="284"/>
        <w:rPr>
          <w:lang w:val="en-AU"/>
        </w:rPr>
      </w:pPr>
      <w:r w:rsidRPr="0095638A">
        <w:rPr>
          <w:lang w:val="en-AU"/>
        </w:rPr>
        <w:t xml:space="preserve">Guidelines for sharing personal information </w:t>
      </w:r>
    </w:p>
    <w:p w14:paraId="0E110DE4" w14:textId="77777777" w:rsidR="0043503F" w:rsidRPr="0095638A" w:rsidRDefault="0043503F" w:rsidP="0095638A">
      <w:pPr>
        <w:pStyle w:val="Body"/>
        <w:numPr>
          <w:ilvl w:val="0"/>
          <w:numId w:val="9"/>
        </w:numPr>
        <w:spacing w:after="120"/>
        <w:ind w:left="284" w:hanging="284"/>
        <w:rPr>
          <w:lang w:val="en-AU"/>
        </w:rPr>
      </w:pPr>
      <w:r w:rsidRPr="0095638A">
        <w:rPr>
          <w:lang w:val="en-AU"/>
        </w:rPr>
        <w:t>Guidelines to protecting the security of personal information: ‘Reasonable steps’ under Information Privacy Principle 4.1</w:t>
      </w:r>
    </w:p>
    <w:p w14:paraId="3F4EA95D" w14:textId="77777777" w:rsidR="0043503F" w:rsidRPr="0095638A" w:rsidRDefault="0043503F" w:rsidP="0095638A">
      <w:pPr>
        <w:pStyle w:val="Body"/>
        <w:numPr>
          <w:ilvl w:val="0"/>
          <w:numId w:val="9"/>
        </w:numPr>
        <w:spacing w:after="120"/>
        <w:ind w:left="284" w:hanging="284"/>
        <w:rPr>
          <w:lang w:val="en-AU"/>
        </w:rPr>
      </w:pPr>
      <w:r w:rsidRPr="0095638A">
        <w:rPr>
          <w:lang w:val="en-AU"/>
        </w:rPr>
        <w:t>Guidelines to the Information Privacy Principles</w:t>
      </w:r>
    </w:p>
    <w:p w14:paraId="47C41DD7" w14:textId="77777777" w:rsidR="0043503F" w:rsidRPr="0095638A" w:rsidRDefault="0043503F" w:rsidP="0095638A">
      <w:pPr>
        <w:pStyle w:val="Body"/>
        <w:numPr>
          <w:ilvl w:val="0"/>
          <w:numId w:val="9"/>
        </w:numPr>
        <w:spacing w:after="120"/>
        <w:ind w:left="284" w:hanging="284"/>
        <w:rPr>
          <w:lang w:val="en-AU"/>
        </w:rPr>
      </w:pPr>
      <w:r w:rsidRPr="0095638A">
        <w:rPr>
          <w:lang w:val="en-AU"/>
        </w:rPr>
        <w:lastRenderedPageBreak/>
        <w:t xml:space="preserve">Information Sheet: Collection Notices </w:t>
      </w:r>
    </w:p>
    <w:p w14:paraId="49B99EC4" w14:textId="77777777" w:rsidR="0043503F" w:rsidRPr="0095638A" w:rsidRDefault="0043503F" w:rsidP="0095638A">
      <w:pPr>
        <w:pStyle w:val="Body"/>
        <w:numPr>
          <w:ilvl w:val="0"/>
          <w:numId w:val="9"/>
        </w:numPr>
        <w:spacing w:after="120"/>
        <w:ind w:left="284" w:hanging="284"/>
        <w:rPr>
          <w:lang w:val="en-AU"/>
        </w:rPr>
      </w:pPr>
      <w:r w:rsidRPr="0095638A">
        <w:rPr>
          <w:lang w:val="en-AU"/>
        </w:rPr>
        <w:t xml:space="preserve">Information Sheet: Drafting a Privacy Policy </w:t>
      </w:r>
    </w:p>
    <w:p w14:paraId="710CA0FD" w14:textId="77777777" w:rsidR="0043503F" w:rsidRPr="0095638A" w:rsidRDefault="0043503F" w:rsidP="0095638A">
      <w:pPr>
        <w:pStyle w:val="Body"/>
        <w:numPr>
          <w:ilvl w:val="0"/>
          <w:numId w:val="9"/>
        </w:numPr>
        <w:spacing w:after="120"/>
        <w:ind w:left="284" w:hanging="284"/>
        <w:rPr>
          <w:lang w:val="en-AU"/>
        </w:rPr>
      </w:pPr>
      <w:r w:rsidRPr="0095638A">
        <w:rPr>
          <w:lang w:val="en-AU"/>
        </w:rPr>
        <w:t>Information Sheet: The Information Privacy Principles and the Health Privacy Principles</w:t>
      </w:r>
    </w:p>
    <w:p w14:paraId="0C88F74F" w14:textId="77777777" w:rsidR="0043503F" w:rsidRPr="0095638A" w:rsidRDefault="0043503F" w:rsidP="0095638A">
      <w:pPr>
        <w:pStyle w:val="Body"/>
        <w:numPr>
          <w:ilvl w:val="0"/>
          <w:numId w:val="9"/>
        </w:numPr>
        <w:spacing w:after="120"/>
        <w:ind w:left="284" w:hanging="284"/>
        <w:rPr>
          <w:lang w:val="en-AU"/>
        </w:rPr>
      </w:pPr>
      <w:r w:rsidRPr="0095638A">
        <w:rPr>
          <w:lang w:val="en-AU"/>
        </w:rPr>
        <w:t xml:space="preserve">Privacy By Design Factsheet </w:t>
      </w:r>
    </w:p>
    <w:p w14:paraId="7D844CAA" w14:textId="77777777" w:rsidR="0043503F" w:rsidRPr="0095638A" w:rsidRDefault="0043503F" w:rsidP="0095638A">
      <w:pPr>
        <w:pStyle w:val="Body"/>
        <w:numPr>
          <w:ilvl w:val="0"/>
          <w:numId w:val="9"/>
        </w:numPr>
        <w:spacing w:after="120"/>
        <w:ind w:left="284" w:hanging="284"/>
        <w:rPr>
          <w:lang w:val="en-AU"/>
        </w:rPr>
      </w:pPr>
      <w:r w:rsidRPr="0095638A">
        <w:rPr>
          <w:lang w:val="en-AU"/>
        </w:rPr>
        <w:t xml:space="preserve">Privacy Impact Assessment introduction and template </w:t>
      </w:r>
    </w:p>
    <w:p w14:paraId="577E1416" w14:textId="77777777" w:rsidR="0043503F" w:rsidRPr="0095638A" w:rsidRDefault="0043503F" w:rsidP="0095638A">
      <w:pPr>
        <w:pStyle w:val="Body"/>
        <w:numPr>
          <w:ilvl w:val="0"/>
          <w:numId w:val="9"/>
        </w:numPr>
        <w:spacing w:after="120"/>
        <w:ind w:left="284" w:hanging="284"/>
        <w:rPr>
          <w:lang w:val="en-AU"/>
        </w:rPr>
      </w:pPr>
      <w:r w:rsidRPr="0095638A">
        <w:rPr>
          <w:lang w:val="en-AU"/>
        </w:rPr>
        <w:t>Responding to Privacy Breaches Guidelines</w:t>
      </w:r>
    </w:p>
    <w:p w14:paraId="1AD5736D" w14:textId="77777777" w:rsidR="0043503F" w:rsidRPr="0095638A" w:rsidRDefault="0043503F" w:rsidP="0095638A">
      <w:pPr>
        <w:pStyle w:val="Body"/>
        <w:numPr>
          <w:ilvl w:val="0"/>
          <w:numId w:val="9"/>
        </w:numPr>
        <w:spacing w:after="120"/>
        <w:ind w:left="284" w:hanging="284"/>
        <w:rPr>
          <w:lang w:val="en-AU"/>
        </w:rPr>
      </w:pPr>
      <w:r w:rsidRPr="0095638A">
        <w:rPr>
          <w:lang w:val="en-AU"/>
        </w:rPr>
        <w:t xml:space="preserve">Responding to Privacy Breaches Checklist </w:t>
      </w:r>
    </w:p>
    <w:p w14:paraId="09B9D180" w14:textId="77777777" w:rsidR="0043503F" w:rsidRPr="0095638A" w:rsidRDefault="0043503F" w:rsidP="0095638A">
      <w:pPr>
        <w:pStyle w:val="Body"/>
        <w:numPr>
          <w:ilvl w:val="0"/>
          <w:numId w:val="9"/>
        </w:numPr>
        <w:spacing w:after="120"/>
        <w:ind w:left="284" w:hanging="284"/>
        <w:rPr>
          <w:lang w:val="en-AU"/>
        </w:rPr>
      </w:pPr>
      <w:r w:rsidRPr="0095638A">
        <w:rPr>
          <w:lang w:val="en-AU"/>
        </w:rPr>
        <w:t xml:space="preserve">Victorian Protective Data Security Framework </w:t>
      </w:r>
    </w:p>
    <w:p w14:paraId="38A6D81E" w14:textId="77777777" w:rsidR="00DB2EF3" w:rsidRPr="0095638A" w:rsidRDefault="0043503F" w:rsidP="0095638A">
      <w:pPr>
        <w:pStyle w:val="Body"/>
        <w:numPr>
          <w:ilvl w:val="0"/>
          <w:numId w:val="9"/>
        </w:numPr>
        <w:spacing w:after="120"/>
        <w:ind w:left="284" w:hanging="284"/>
        <w:rPr>
          <w:lang w:val="en-AU"/>
        </w:rPr>
      </w:pPr>
      <w:r w:rsidRPr="0095638A">
        <w:rPr>
          <w:lang w:val="en-AU"/>
        </w:rPr>
        <w:t>Victorian Protective Data Security Standards</w:t>
      </w:r>
    </w:p>
    <w:p w14:paraId="73BDCEB6" w14:textId="77777777" w:rsidR="006978C4" w:rsidRPr="0095638A" w:rsidRDefault="006978C4" w:rsidP="00765158">
      <w:pPr>
        <w:pStyle w:val="BasicParagraph"/>
        <w:suppressAutoHyphens/>
        <w:rPr>
          <w:rFonts w:ascii="Calibri" w:hAnsi="Calibri" w:cs="PostGrotesk-Medium"/>
          <w:color w:val="555559"/>
          <w:sz w:val="22"/>
          <w:szCs w:val="22"/>
        </w:rPr>
        <w:sectPr w:rsidR="006978C4" w:rsidRPr="0095638A" w:rsidSect="00D05A0D">
          <w:headerReference w:type="first" r:id="rId23"/>
          <w:type w:val="continuous"/>
          <w:pgSz w:w="11900" w:h="16840"/>
          <w:pgMar w:top="1134" w:right="1134" w:bottom="1134" w:left="1134" w:header="397" w:footer="510" w:gutter="0"/>
          <w:cols w:num="2" w:space="720"/>
          <w:titlePg/>
          <w:docGrid w:linePitch="360"/>
        </w:sectPr>
      </w:pPr>
    </w:p>
    <w:p w14:paraId="53B017D3" w14:textId="77777777" w:rsidR="00EC2682" w:rsidRPr="0095638A" w:rsidRDefault="00EC2682" w:rsidP="0095638A">
      <w:pPr>
        <w:pStyle w:val="BasicParagraph"/>
        <w:rPr>
          <w:rFonts w:ascii="PostGrotesk-Medium" w:hAnsi="PostGrotesk-Medium" w:cs="PostGrotesk-Medium"/>
          <w:color w:val="E5007D"/>
          <w:sz w:val="12"/>
        </w:rPr>
        <w:sectPr w:rsidR="00EC2682" w:rsidRPr="0095638A" w:rsidSect="00EC2682">
          <w:headerReference w:type="first" r:id="rId24"/>
          <w:type w:val="continuous"/>
          <w:pgSz w:w="11900" w:h="16840"/>
          <w:pgMar w:top="1134" w:right="1134" w:bottom="4962" w:left="1134" w:header="624" w:footer="709" w:gutter="0"/>
          <w:cols w:space="720"/>
          <w:titlePg/>
          <w:docGrid w:linePitch="360"/>
        </w:sectPr>
      </w:pPr>
    </w:p>
    <w:p w14:paraId="258ECF4C" w14:textId="77777777" w:rsidR="00765158" w:rsidRPr="00EC2682" w:rsidRDefault="00F36C34" w:rsidP="0095638A">
      <w:pPr>
        <w:pStyle w:val="FurtherInfo"/>
        <w:spacing w:before="0"/>
        <w:outlineLvl w:val="0"/>
        <w:sectPr w:rsidR="00765158" w:rsidRPr="00EC2682" w:rsidSect="00E45B00">
          <w:type w:val="continuous"/>
          <w:pgSz w:w="11900" w:h="16840"/>
          <w:pgMar w:top="1134" w:right="1134" w:bottom="1134" w:left="1134" w:header="1134" w:footer="709" w:gutter="0"/>
          <w:cols w:space="720"/>
          <w:titlePg/>
          <w:docGrid w:linePitch="360"/>
        </w:sectPr>
      </w:pPr>
      <w:r w:rsidRPr="0086734F">
        <w:lastRenderedPageBreak/>
        <w:t>Further Infor</w:t>
      </w:r>
      <w:r w:rsidRPr="00372C3E">
        <w:t>mat</w:t>
      </w:r>
      <w:r w:rsidRPr="0086734F">
        <w:t>ion</w:t>
      </w:r>
    </w:p>
    <w:p w14:paraId="72B361AF" w14:textId="77777777" w:rsidR="00EC2682" w:rsidRPr="007A6656" w:rsidRDefault="00EC2682" w:rsidP="007A6656">
      <w:pPr>
        <w:pStyle w:val="Body"/>
        <w:spacing w:after="120"/>
        <w:rPr>
          <w:b/>
        </w:rPr>
      </w:pPr>
      <w:bookmarkStart w:id="30" w:name="_Toc506973429"/>
      <w:r w:rsidRPr="007A6656">
        <w:rPr>
          <w:b/>
        </w:rPr>
        <w:lastRenderedPageBreak/>
        <w:t>Victorian Information Commissioner</w:t>
      </w:r>
      <w:bookmarkEnd w:id="30"/>
      <w:r w:rsidRPr="007A6656">
        <w:rPr>
          <w:b/>
        </w:rPr>
        <w:t xml:space="preserve"> </w:t>
      </w:r>
    </w:p>
    <w:p w14:paraId="66B776ED" w14:textId="77777777" w:rsidR="00EC2682" w:rsidRPr="00EC2682" w:rsidRDefault="00780584" w:rsidP="007A6656">
      <w:pPr>
        <w:widowControl w:val="0"/>
        <w:tabs>
          <w:tab w:val="left" w:pos="284"/>
          <w:tab w:val="left" w:pos="709"/>
        </w:tabs>
        <w:suppressAutoHyphens/>
        <w:autoSpaceDE w:val="0"/>
        <w:autoSpaceDN w:val="0"/>
        <w:adjustRightInd w:val="0"/>
        <w:spacing w:after="140"/>
        <w:textAlignment w:val="center"/>
      </w:pPr>
      <w:r w:rsidRPr="007A6656">
        <w:rPr>
          <w:b/>
          <w:color w:val="430098"/>
          <w:sz w:val="22"/>
        </w:rPr>
        <w:t>t:</w:t>
      </w:r>
      <w:r w:rsidRPr="007A6656">
        <w:rPr>
          <w:color w:val="55565A"/>
          <w:sz w:val="22"/>
        </w:rPr>
        <w:tab/>
        <w:t xml:space="preserve">1300 00 6842 </w:t>
      </w:r>
      <w:r w:rsidRPr="007A6656">
        <w:rPr>
          <w:color w:val="55565A"/>
          <w:sz w:val="22"/>
        </w:rPr>
        <w:br/>
      </w:r>
      <w:r w:rsidRPr="007A6656">
        <w:rPr>
          <w:b/>
          <w:color w:val="430098"/>
          <w:sz w:val="22"/>
        </w:rPr>
        <w:t>e:</w:t>
      </w:r>
      <w:r w:rsidRPr="007A6656">
        <w:rPr>
          <w:color w:val="430098"/>
          <w:sz w:val="22"/>
        </w:rPr>
        <w:tab/>
      </w:r>
      <w:r w:rsidRPr="007A6656">
        <w:rPr>
          <w:color w:val="55565A"/>
          <w:sz w:val="22"/>
        </w:rPr>
        <w:t>enquiries@ovic.vic.gov.au</w:t>
      </w:r>
      <w:r w:rsidRPr="007A6656">
        <w:rPr>
          <w:color w:val="55565A"/>
          <w:sz w:val="22"/>
        </w:rPr>
        <w:br/>
      </w:r>
      <w:r w:rsidRPr="007A6656">
        <w:rPr>
          <w:b/>
          <w:color w:val="430098"/>
          <w:sz w:val="22"/>
        </w:rPr>
        <w:t>w:</w:t>
      </w:r>
      <w:r w:rsidRPr="007A6656">
        <w:rPr>
          <w:color w:val="55565A"/>
          <w:sz w:val="22"/>
        </w:rPr>
        <w:tab/>
        <w:t>ovic.vic.gov.au</w:t>
      </w:r>
      <w:r>
        <w:br w:type="column"/>
      </w:r>
      <w:r w:rsidR="00EC2682" w:rsidRPr="007A6656">
        <w:rPr>
          <w:b/>
          <w:color w:val="55565A"/>
          <w:sz w:val="22"/>
        </w:rPr>
        <w:lastRenderedPageBreak/>
        <w:t>Health Complaints Commissioner</w:t>
      </w:r>
      <w:r w:rsidR="00EC2682" w:rsidRPr="007A6656">
        <w:rPr>
          <w:color w:val="55565A"/>
          <w:sz w:val="22"/>
        </w:rPr>
        <w:t xml:space="preserve"> </w:t>
      </w:r>
    </w:p>
    <w:p w14:paraId="275A41C8" w14:textId="77777777" w:rsidR="00BD07DC" w:rsidRDefault="00EC2682" w:rsidP="00EC2682">
      <w:pPr>
        <w:widowControl w:val="0"/>
        <w:tabs>
          <w:tab w:val="left" w:pos="284"/>
          <w:tab w:val="left" w:pos="709"/>
        </w:tabs>
        <w:suppressAutoHyphens/>
        <w:autoSpaceDE w:val="0"/>
        <w:autoSpaceDN w:val="0"/>
        <w:adjustRightInd w:val="0"/>
        <w:spacing w:after="240"/>
        <w:textAlignment w:val="center"/>
      </w:pPr>
      <w:r w:rsidRPr="00EC2682">
        <w:rPr>
          <w:rFonts w:cs="PostGrotesk-Book"/>
          <w:b/>
          <w:color w:val="430098"/>
          <w:sz w:val="22"/>
          <w:szCs w:val="22"/>
        </w:rPr>
        <w:t>t:</w:t>
      </w:r>
      <w:r w:rsidRPr="00EC2682">
        <w:rPr>
          <w:rFonts w:cs="PostGrotesk-Book"/>
          <w:color w:val="55565A"/>
          <w:sz w:val="22"/>
          <w:szCs w:val="22"/>
        </w:rPr>
        <w:tab/>
        <w:t>1300 582 113</w:t>
      </w:r>
      <w:r w:rsidRPr="00EC2682">
        <w:rPr>
          <w:rFonts w:cs="PostGrotesk-Book"/>
          <w:color w:val="55565A"/>
          <w:sz w:val="22"/>
          <w:szCs w:val="22"/>
        </w:rPr>
        <w:br/>
      </w:r>
      <w:r w:rsidRPr="00EC2682">
        <w:rPr>
          <w:rFonts w:cs="PostGrotesk-Book"/>
          <w:b/>
          <w:color w:val="430098"/>
          <w:sz w:val="22"/>
          <w:szCs w:val="22"/>
        </w:rPr>
        <w:t>e:</w:t>
      </w:r>
      <w:r w:rsidRPr="00EC2682">
        <w:rPr>
          <w:rFonts w:cs="PostGrotesk-Book"/>
          <w:color w:val="55565A"/>
          <w:sz w:val="22"/>
          <w:szCs w:val="22"/>
        </w:rPr>
        <w:tab/>
        <w:t xml:space="preserve">hcc@hcc.vic.gov.au </w:t>
      </w:r>
      <w:r w:rsidRPr="00EC2682">
        <w:rPr>
          <w:rFonts w:cs="PostGrotesk-Book"/>
          <w:color w:val="55565A"/>
          <w:sz w:val="22"/>
          <w:szCs w:val="22"/>
        </w:rPr>
        <w:br/>
      </w:r>
      <w:r w:rsidRPr="00EC2682">
        <w:rPr>
          <w:rFonts w:cs="PostGrotesk-Book"/>
          <w:b/>
          <w:color w:val="430098"/>
          <w:sz w:val="22"/>
          <w:szCs w:val="22"/>
        </w:rPr>
        <w:t>w:</w:t>
      </w:r>
      <w:r w:rsidRPr="00EC2682">
        <w:rPr>
          <w:rFonts w:cs="PostGrotesk-Book"/>
          <w:color w:val="55565A"/>
          <w:sz w:val="22"/>
          <w:szCs w:val="22"/>
        </w:rPr>
        <w:tab/>
        <w:t>hcc.vic.gov.au</w:t>
      </w:r>
    </w:p>
    <w:p w14:paraId="4C9A6DC5" w14:textId="77777777" w:rsidR="00EC2682" w:rsidRPr="00064688" w:rsidRDefault="00EC2682" w:rsidP="00780584">
      <w:pPr>
        <w:sectPr w:rsidR="00EC2682" w:rsidRPr="00064688" w:rsidSect="00780584">
          <w:type w:val="continuous"/>
          <w:pgSz w:w="11900" w:h="16840"/>
          <w:pgMar w:top="1134" w:right="1134" w:bottom="1134" w:left="1134" w:header="1134" w:footer="510" w:gutter="0"/>
          <w:cols w:num="2" w:space="720"/>
          <w:titlePg/>
          <w:docGrid w:linePitch="360"/>
        </w:sectPr>
      </w:pPr>
    </w:p>
    <w:p w14:paraId="5B720FC8" w14:textId="77777777" w:rsidR="00EC2682" w:rsidRDefault="00EC2682" w:rsidP="00EC2682">
      <w:pPr>
        <w:widowControl w:val="0"/>
        <w:tabs>
          <w:tab w:val="left" w:pos="284"/>
          <w:tab w:val="left" w:pos="709"/>
        </w:tabs>
        <w:suppressAutoHyphens/>
        <w:autoSpaceDE w:val="0"/>
        <w:autoSpaceDN w:val="0"/>
        <w:adjustRightInd w:val="0"/>
        <w:spacing w:after="240"/>
        <w:textAlignment w:val="center"/>
        <w:rPr>
          <w:rFonts w:eastAsia="Times New Roman" w:cs="Calibri"/>
          <w:color w:val="3A3838"/>
          <w:sz w:val="16"/>
          <w:szCs w:val="16"/>
          <w:lang w:val="en-AU" w:eastAsia="en-AU"/>
        </w:rPr>
      </w:pPr>
      <w:r w:rsidRPr="00EC2682">
        <w:rPr>
          <w:rFonts w:eastAsia="Times New Roman" w:cs="Calibri"/>
          <w:color w:val="3A3838"/>
          <w:sz w:val="16"/>
          <w:szCs w:val="16"/>
          <w:lang w:val="en-AU" w:eastAsia="en-AU"/>
        </w:rPr>
        <w:lastRenderedPageBreak/>
        <w:t xml:space="preserve">Please note that the contents above are for general information purposes only, and should not be relied upon as legal advice. OVIC </w:t>
      </w:r>
      <w:r w:rsidR="00A06305">
        <w:rPr>
          <w:rFonts w:eastAsia="Times New Roman" w:cs="Calibri"/>
          <w:color w:val="3A3838"/>
          <w:sz w:val="16"/>
          <w:szCs w:val="16"/>
          <w:lang w:val="en-AU" w:eastAsia="en-AU"/>
        </w:rPr>
        <w:t>and HCC do</w:t>
      </w:r>
      <w:r w:rsidRPr="00EC2682">
        <w:rPr>
          <w:rFonts w:eastAsia="Times New Roman" w:cs="Calibri"/>
          <w:color w:val="3A3838"/>
          <w:sz w:val="16"/>
          <w:szCs w:val="16"/>
          <w:lang w:val="en-AU" w:eastAsia="en-AU"/>
        </w:rPr>
        <w:t xml:space="preserve"> not guarantee or accept legal liability whatsoever arising from, or connected to the accuracy and reliability of the contents of this information</w:t>
      </w:r>
      <w:r w:rsidR="00A06305">
        <w:rPr>
          <w:rFonts w:eastAsia="Times New Roman" w:cs="Calibri"/>
          <w:color w:val="3A3838"/>
          <w:sz w:val="16"/>
          <w:szCs w:val="16"/>
          <w:lang w:val="en-AU" w:eastAsia="en-AU"/>
        </w:rPr>
        <w:t>.</w:t>
      </w:r>
    </w:p>
    <w:p w14:paraId="41D4571B" w14:textId="77777777" w:rsidR="0095638A" w:rsidRPr="00EC2682" w:rsidRDefault="0095638A" w:rsidP="00EC2682">
      <w:pPr>
        <w:widowControl w:val="0"/>
        <w:tabs>
          <w:tab w:val="left" w:pos="284"/>
          <w:tab w:val="left" w:pos="709"/>
        </w:tabs>
        <w:suppressAutoHyphens/>
        <w:autoSpaceDE w:val="0"/>
        <w:autoSpaceDN w:val="0"/>
        <w:adjustRightInd w:val="0"/>
        <w:spacing w:after="240"/>
        <w:textAlignment w:val="center"/>
        <w:rPr>
          <w:rFonts w:eastAsia="Times New Roman" w:cs="Calibri"/>
          <w:color w:val="3A3838"/>
          <w:sz w:val="16"/>
          <w:szCs w:val="16"/>
          <w:lang w:val="en-AU" w:eastAsia="en-AU"/>
        </w:rPr>
      </w:pPr>
    </w:p>
    <w:p w14:paraId="0A1E6C6C" w14:textId="77777777" w:rsidR="00F36C34" w:rsidRPr="00F36C34" w:rsidRDefault="00F36C34" w:rsidP="00F36C34">
      <w:pPr>
        <w:ind w:right="-7"/>
        <w:rPr>
          <w:lang w:val="en-US"/>
        </w:rPr>
      </w:pPr>
    </w:p>
    <w:sectPr w:rsidR="00F36C34" w:rsidRPr="00F36C34" w:rsidSect="00D242A7">
      <w:type w:val="continuous"/>
      <w:pgSz w:w="11900" w:h="16840"/>
      <w:pgMar w:top="1134" w:right="1134" w:bottom="1134" w:left="1134" w:header="1134" w:footer="8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2BE01" w14:textId="77777777" w:rsidR="0081691E" w:rsidRDefault="0081691E" w:rsidP="00B53C78">
      <w:r>
        <w:separator/>
      </w:r>
    </w:p>
  </w:endnote>
  <w:endnote w:type="continuationSeparator" w:id="0">
    <w:p w14:paraId="6F9B4D17" w14:textId="77777777" w:rsidR="0081691E" w:rsidRDefault="0081691E"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6646" w14:textId="77777777" w:rsidR="00D145B3" w:rsidRDefault="00D14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83C0" w14:textId="122AA081" w:rsidR="002574C7" w:rsidRPr="006978C4" w:rsidRDefault="002574C7" w:rsidP="006978C4">
    <w:pPr>
      <w:pStyle w:val="Footer"/>
      <w:tabs>
        <w:tab w:val="clear" w:pos="4513"/>
        <w:tab w:val="clear" w:pos="9026"/>
        <w:tab w:val="right" w:pos="9639"/>
      </w:tabs>
      <w:spacing w:before="120"/>
      <w:rPr>
        <w:rFonts w:cs="Arial"/>
        <w:sz w:val="20"/>
      </w:rPr>
    </w:pPr>
    <w:bookmarkStart w:id="0" w:name="_GoBack"/>
    <w:bookmarkEnd w:id="0"/>
    <w:r>
      <w:rPr>
        <w:rFonts w:cs="Arial"/>
        <w:sz w:val="20"/>
      </w:rPr>
      <w:tab/>
    </w:r>
    <w:r w:rsidRPr="006978C4">
      <w:rPr>
        <w:rFonts w:cs="Arial"/>
        <w:sz w:val="20"/>
      </w:rPr>
      <w:fldChar w:fldCharType="begin"/>
    </w:r>
    <w:r w:rsidRPr="006978C4">
      <w:rPr>
        <w:rFonts w:cs="Arial"/>
        <w:sz w:val="20"/>
      </w:rPr>
      <w:instrText xml:space="preserve">PAGE  </w:instrText>
    </w:r>
    <w:r w:rsidRPr="006978C4">
      <w:rPr>
        <w:rFonts w:cs="Arial"/>
        <w:sz w:val="20"/>
      </w:rPr>
      <w:fldChar w:fldCharType="separate"/>
    </w:r>
    <w:r w:rsidR="00D145B3">
      <w:rPr>
        <w:rFonts w:cs="Arial"/>
        <w:noProof/>
        <w:sz w:val="20"/>
      </w:rPr>
      <w:t>11</w:t>
    </w:r>
    <w:r w:rsidRPr="006978C4">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2A39" w14:textId="4502A96D" w:rsidR="002574C7" w:rsidRPr="006978C4" w:rsidRDefault="002574C7" w:rsidP="006978C4">
    <w:pPr>
      <w:pStyle w:val="Footer"/>
      <w:tabs>
        <w:tab w:val="clear" w:pos="4513"/>
        <w:tab w:val="clear" w:pos="9026"/>
        <w:tab w:val="right" w:pos="9639"/>
      </w:tabs>
      <w:spacing w:before="120"/>
      <w:rPr>
        <w:rFonts w:cs="Arial"/>
        <w:sz w:val="20"/>
      </w:rPr>
    </w:pPr>
    <w:r>
      <w:rPr>
        <w:rFonts w:cs="Arial"/>
        <w:sz w:val="20"/>
      </w:rPr>
      <w:tab/>
    </w:r>
    <w:r w:rsidRPr="006978C4">
      <w:rPr>
        <w:rFonts w:cs="Arial"/>
        <w:sz w:val="20"/>
      </w:rPr>
      <w:fldChar w:fldCharType="begin"/>
    </w:r>
    <w:r w:rsidRPr="006978C4">
      <w:rPr>
        <w:rFonts w:cs="Arial"/>
        <w:sz w:val="20"/>
      </w:rPr>
      <w:instrText xml:space="preserve">PAGE  </w:instrText>
    </w:r>
    <w:r w:rsidRPr="006978C4">
      <w:rPr>
        <w:rFonts w:cs="Arial"/>
        <w:sz w:val="20"/>
      </w:rPr>
      <w:fldChar w:fldCharType="separate"/>
    </w:r>
    <w:r w:rsidR="00D145B3">
      <w:rPr>
        <w:rFonts w:cs="Arial"/>
        <w:noProof/>
        <w:sz w:val="20"/>
      </w:rPr>
      <w:t>2</w:t>
    </w:r>
    <w:r w:rsidRPr="006978C4">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DB66B" w14:textId="77777777" w:rsidR="0081691E" w:rsidRDefault="0081691E" w:rsidP="00D05A0D">
      <w:r>
        <w:separator/>
      </w:r>
    </w:p>
  </w:footnote>
  <w:footnote w:type="continuationSeparator" w:id="0">
    <w:p w14:paraId="6EBB73EC" w14:textId="77777777" w:rsidR="0081691E" w:rsidRDefault="0081691E" w:rsidP="00B53C78">
      <w:r>
        <w:continuationSeparator/>
      </w:r>
    </w:p>
  </w:footnote>
  <w:footnote w:type="continuationNotice" w:id="1">
    <w:p w14:paraId="4B4BC0DE" w14:textId="77777777" w:rsidR="0081691E" w:rsidRDefault="0081691E"/>
  </w:footnote>
  <w:footnote w:id="2">
    <w:p w14:paraId="7C15D904" w14:textId="3C0124FD" w:rsidR="00B65854" w:rsidRPr="00B65854" w:rsidRDefault="00B65854">
      <w:pPr>
        <w:pStyle w:val="FootnoteText"/>
        <w:rPr>
          <w:sz w:val="16"/>
          <w:szCs w:val="16"/>
          <w:lang w:val="en-AU"/>
        </w:rPr>
      </w:pPr>
      <w:r w:rsidRPr="00AA3772">
        <w:rPr>
          <w:rStyle w:val="FootnoteReference"/>
          <w:color w:val="595959" w:themeColor="text1" w:themeTint="A6"/>
          <w:sz w:val="16"/>
          <w:szCs w:val="16"/>
        </w:rPr>
        <w:footnoteRef/>
      </w:r>
      <w:r w:rsidRPr="00AA3772">
        <w:rPr>
          <w:color w:val="595959" w:themeColor="text1" w:themeTint="A6"/>
          <w:sz w:val="16"/>
          <w:szCs w:val="16"/>
        </w:rPr>
        <w:t xml:space="preserve"> The term ‘practitioner’ is used throughout this FAQs document to refer to workers who have a role in assessing and managing family violence risk under the scheme.</w:t>
      </w:r>
    </w:p>
  </w:footnote>
  <w:footnote w:id="3">
    <w:p w14:paraId="4AE6E3F2" w14:textId="77777777" w:rsidR="002574C7" w:rsidRPr="00D242A7" w:rsidRDefault="002574C7" w:rsidP="00C667D7">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Personal information is defined in s 3 of the PDPA.</w:t>
      </w:r>
    </w:p>
  </w:footnote>
  <w:footnote w:id="4">
    <w:p w14:paraId="16C3889E" w14:textId="77777777" w:rsidR="002574C7" w:rsidRPr="00D242A7" w:rsidRDefault="002574C7" w:rsidP="00C667D7">
      <w:pPr>
        <w:pStyle w:val="FootnoteText"/>
        <w:rPr>
          <w:rStyle w:val="FootnoteReference"/>
          <w:i/>
          <w:color w:val="55565A"/>
          <w:sz w:val="16"/>
          <w:szCs w:val="16"/>
          <w:lang w:val="en-AU"/>
        </w:rPr>
      </w:pPr>
      <w:r w:rsidRPr="00D242A7">
        <w:rPr>
          <w:rStyle w:val="FootnoteReference"/>
          <w:color w:val="55565A"/>
          <w:sz w:val="16"/>
          <w:szCs w:val="16"/>
        </w:rPr>
        <w:footnoteRef/>
      </w:r>
      <w:r w:rsidRPr="00D242A7">
        <w:rPr>
          <w:rStyle w:val="FootnoteReference"/>
          <w:color w:val="55565A"/>
          <w:sz w:val="16"/>
          <w:szCs w:val="16"/>
        </w:rPr>
        <w:t xml:space="preserve"> </w:t>
      </w:r>
      <w:r w:rsidRPr="00D242A7">
        <w:rPr>
          <w:color w:val="55565A"/>
          <w:sz w:val="16"/>
          <w:szCs w:val="16"/>
          <w:lang w:val="en-AU"/>
        </w:rPr>
        <w:t>Health information is defined in s 3 of the HRA</w:t>
      </w:r>
      <w:r w:rsidRPr="00D242A7">
        <w:rPr>
          <w:i/>
          <w:color w:val="55565A"/>
          <w:sz w:val="16"/>
          <w:szCs w:val="16"/>
        </w:rPr>
        <w:t>.</w:t>
      </w:r>
    </w:p>
  </w:footnote>
  <w:footnote w:id="5">
    <w:p w14:paraId="665CD6BC" w14:textId="77777777" w:rsidR="002574C7" w:rsidRPr="00433B19" w:rsidRDefault="002574C7" w:rsidP="00C667D7">
      <w:pPr>
        <w:pStyle w:val="FootnoteText"/>
        <w:rPr>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See Part 4 of the PDPA for the organisations that are required to comply with the VPDSF and VPDSS. Further detail on the VPDSF and VPDSS can be found on OVIC</w:t>
      </w:r>
      <w:r>
        <w:rPr>
          <w:color w:val="55565A"/>
          <w:sz w:val="16"/>
          <w:szCs w:val="16"/>
          <w:lang w:val="en-AU"/>
        </w:rPr>
        <w:t>’s</w:t>
      </w:r>
      <w:r w:rsidRPr="00D242A7">
        <w:rPr>
          <w:color w:val="55565A"/>
          <w:sz w:val="16"/>
          <w:szCs w:val="16"/>
          <w:lang w:val="en-AU"/>
        </w:rPr>
        <w:t xml:space="preserve"> </w:t>
      </w:r>
      <w:hyperlink r:id="rId1" w:history="1">
        <w:r w:rsidRPr="008C39BE">
          <w:rPr>
            <w:rStyle w:val="Hyperlink"/>
            <w:sz w:val="16"/>
            <w:szCs w:val="16"/>
            <w:lang w:val="en-AU"/>
          </w:rPr>
          <w:t>website</w:t>
        </w:r>
      </w:hyperlink>
      <w:r>
        <w:rPr>
          <w:sz w:val="16"/>
          <w:szCs w:val="16"/>
          <w:lang w:val="en-AU"/>
        </w:rPr>
        <w:t>.</w:t>
      </w:r>
    </w:p>
  </w:footnote>
  <w:footnote w:id="6">
    <w:p w14:paraId="12A6D320" w14:textId="77777777" w:rsidR="002574C7" w:rsidRPr="00D242A7" w:rsidRDefault="002574C7" w:rsidP="00DB2EF3">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Perpetrator’ is defined as ‘person of concern’ in s 144B of the FVP Act. ‘Linked person’ is defined in s 144A of the FVP Act. ‘Victim survivor’ is the terminology adopted by the Royal Commission into Family Violence and the Guidelines to describe a ‘primary person’, which is defined in s 144E of the FVP Act as</w:t>
      </w:r>
      <w:r w:rsidRPr="00692D3A">
        <w:rPr>
          <w:color w:val="55565A"/>
          <w:sz w:val="16"/>
          <w:szCs w:val="16"/>
        </w:rPr>
        <w:t xml:space="preserve"> a person that an information sharing entity reasonably believes as at risk of being subjected to family violence</w:t>
      </w:r>
      <w:r w:rsidRPr="00D242A7">
        <w:rPr>
          <w:color w:val="55565A"/>
          <w:sz w:val="16"/>
          <w:szCs w:val="16"/>
          <w:lang w:val="en-AU"/>
        </w:rPr>
        <w:t xml:space="preserve">. </w:t>
      </w:r>
    </w:p>
  </w:footnote>
  <w:footnote w:id="7">
    <w:p w14:paraId="24FE2A86" w14:textId="77777777" w:rsidR="002574C7" w:rsidRPr="00D242A7" w:rsidRDefault="002574C7" w:rsidP="00DB2EF3">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As defined in s 3 of the PDPA. </w:t>
      </w:r>
    </w:p>
  </w:footnote>
  <w:footnote w:id="8">
    <w:p w14:paraId="45B21D7D" w14:textId="77777777" w:rsidR="002574C7" w:rsidRPr="00D242A7" w:rsidRDefault="002574C7" w:rsidP="00DB2EF3">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 xml:space="preserve">As defined in s 3 of the HRA. </w:t>
      </w:r>
    </w:p>
  </w:footnote>
  <w:footnote w:id="9">
    <w:p w14:paraId="5D2210D6" w14:textId="77777777" w:rsidR="002574C7" w:rsidRPr="00303C14" w:rsidRDefault="002574C7" w:rsidP="00DB2EF3">
      <w:pPr>
        <w:pStyle w:val="FootnoteText"/>
        <w:rPr>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The CIP is a secure, state</w:t>
      </w:r>
      <w:r>
        <w:rPr>
          <w:color w:val="55565A"/>
          <w:sz w:val="16"/>
          <w:szCs w:val="16"/>
          <w:lang w:val="en-AU"/>
        </w:rPr>
        <w:t>-</w:t>
      </w:r>
      <w:r w:rsidRPr="00D242A7">
        <w:rPr>
          <w:color w:val="55565A"/>
          <w:sz w:val="16"/>
          <w:szCs w:val="16"/>
          <w:lang w:val="en-AU"/>
        </w:rPr>
        <w:t>wide service that will collate information relevant for family violence risk assessment and risk management purpose</w:t>
      </w:r>
      <w:r>
        <w:rPr>
          <w:color w:val="55565A"/>
          <w:sz w:val="16"/>
          <w:szCs w:val="16"/>
          <w:lang w:val="en-AU"/>
        </w:rPr>
        <w:t>s</w:t>
      </w:r>
      <w:r w:rsidRPr="00D242A7">
        <w:rPr>
          <w:color w:val="55565A"/>
          <w:sz w:val="16"/>
          <w:szCs w:val="16"/>
          <w:lang w:val="en-AU"/>
        </w:rPr>
        <w:t xml:space="preserve">, operated by Family Safety Victoria. For more information on the CIP, please visit Family Safety Victoria’s </w:t>
      </w:r>
      <w:hyperlink r:id="rId2" w:history="1">
        <w:r w:rsidRPr="00303C14">
          <w:rPr>
            <w:rStyle w:val="Hyperlink"/>
            <w:sz w:val="16"/>
            <w:szCs w:val="16"/>
            <w:lang w:val="en-AU"/>
          </w:rPr>
          <w:t>website</w:t>
        </w:r>
      </w:hyperlink>
      <w:r w:rsidRPr="00303C14">
        <w:rPr>
          <w:color w:val="4A442A" w:themeColor="background2" w:themeShade="40"/>
          <w:sz w:val="16"/>
          <w:szCs w:val="16"/>
          <w:lang w:val="en-AU"/>
        </w:rPr>
        <w:t xml:space="preserve">. </w:t>
      </w:r>
    </w:p>
  </w:footnote>
  <w:footnote w:id="10">
    <w:p w14:paraId="7EECC611" w14:textId="77777777" w:rsidR="002574C7" w:rsidRPr="00D242A7" w:rsidRDefault="002574C7" w:rsidP="00DB2EF3">
      <w:pPr>
        <w:pStyle w:val="FootnoteText"/>
        <w:rPr>
          <w:i/>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Under the new s 15A of the PDPA</w:t>
      </w:r>
      <w:r w:rsidRPr="00D242A7">
        <w:rPr>
          <w:i/>
          <w:color w:val="55565A"/>
          <w:sz w:val="16"/>
          <w:szCs w:val="16"/>
          <w:lang w:val="en-AU"/>
        </w:rPr>
        <w:t>.</w:t>
      </w:r>
    </w:p>
  </w:footnote>
  <w:footnote w:id="11">
    <w:p w14:paraId="5C7782B2" w14:textId="77777777" w:rsidR="002574C7" w:rsidRPr="00D242A7" w:rsidRDefault="002574C7" w:rsidP="00DB2EF3">
      <w:pPr>
        <w:pStyle w:val="FootnoteText"/>
        <w:rPr>
          <w:i/>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Under the new s 14B of the HRA</w:t>
      </w:r>
      <w:r w:rsidRPr="00D242A7">
        <w:rPr>
          <w:i/>
          <w:color w:val="55565A"/>
          <w:sz w:val="16"/>
          <w:szCs w:val="16"/>
          <w:lang w:val="en-AU"/>
        </w:rPr>
        <w:t>.</w:t>
      </w:r>
    </w:p>
  </w:footnote>
  <w:footnote w:id="12">
    <w:p w14:paraId="6FDDBEB4" w14:textId="77777777" w:rsidR="002574C7" w:rsidRPr="00D242A7" w:rsidRDefault="002574C7" w:rsidP="00DB2EF3">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 xml:space="preserve">Under the new s 15A of the PDPA and the </w:t>
      </w:r>
      <w:proofErr w:type="spellStart"/>
      <w:r w:rsidRPr="00D242A7">
        <w:rPr>
          <w:color w:val="55565A"/>
          <w:sz w:val="16"/>
          <w:szCs w:val="16"/>
          <w:lang w:val="en-AU"/>
        </w:rPr>
        <w:t>new s</w:t>
      </w:r>
      <w:proofErr w:type="spellEnd"/>
      <w:r w:rsidRPr="00D242A7">
        <w:rPr>
          <w:color w:val="55565A"/>
          <w:sz w:val="16"/>
          <w:szCs w:val="16"/>
          <w:lang w:val="en-AU"/>
        </w:rPr>
        <w:t xml:space="preserve"> 14B of the HRA, respectively.</w:t>
      </w:r>
    </w:p>
  </w:footnote>
  <w:footnote w:id="13">
    <w:p w14:paraId="28E9E9A4" w14:textId="77777777" w:rsidR="002574C7" w:rsidRPr="00D242A7" w:rsidRDefault="002574C7" w:rsidP="00DB2EF3">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 xml:space="preserve">Under the new s 144QA of the </w:t>
      </w:r>
      <w:r w:rsidRPr="00D242A7">
        <w:rPr>
          <w:color w:val="55565A"/>
          <w:sz w:val="16"/>
          <w:szCs w:val="16"/>
        </w:rPr>
        <w:t>FVP Act</w:t>
      </w:r>
      <w:r w:rsidRPr="00D242A7">
        <w:rPr>
          <w:color w:val="55565A"/>
          <w:sz w:val="16"/>
          <w:szCs w:val="16"/>
          <w:lang w:val="en-AU"/>
        </w:rPr>
        <w:t xml:space="preserve">. </w:t>
      </w:r>
    </w:p>
  </w:footnote>
  <w:footnote w:id="14">
    <w:p w14:paraId="30B501EF" w14:textId="77777777" w:rsidR="002574C7" w:rsidRPr="00D242A7" w:rsidRDefault="002574C7" w:rsidP="00DB2EF3">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Where it is safe to do so, an ISE may grant a request for access or correction under IPP 6 from a perpetrator (for example, where a person has been incorrectly identified as a perpetrator of family violence and wishes to correct any records accordingly). Where a perpetrator has been incorrectly identified and does not present a risk of committing family violence, their rights of access and correction will be the same as for any other person under the scheme. </w:t>
      </w:r>
    </w:p>
  </w:footnote>
  <w:footnote w:id="15">
    <w:p w14:paraId="2B1800FF" w14:textId="77777777" w:rsidR="002574C7" w:rsidRPr="0000794D" w:rsidRDefault="002574C7" w:rsidP="006733D2">
      <w:pPr>
        <w:pStyle w:val="FootnoteText"/>
        <w:rPr>
          <w:color w:val="595959" w:themeColor="text1" w:themeTint="A6"/>
          <w:sz w:val="16"/>
          <w:szCs w:val="16"/>
          <w:lang w:val="en-AU"/>
        </w:rPr>
      </w:pPr>
      <w:r w:rsidRPr="0000794D">
        <w:rPr>
          <w:rStyle w:val="FootnoteReference"/>
          <w:color w:val="595959" w:themeColor="text1" w:themeTint="A6"/>
          <w:sz w:val="16"/>
          <w:szCs w:val="16"/>
        </w:rPr>
        <w:footnoteRef/>
      </w:r>
      <w:r w:rsidRPr="0000794D">
        <w:rPr>
          <w:color w:val="595959" w:themeColor="text1" w:themeTint="A6"/>
          <w:sz w:val="16"/>
          <w:szCs w:val="16"/>
        </w:rPr>
        <w:t xml:space="preserve"> </w:t>
      </w:r>
      <w:r w:rsidRPr="0000794D">
        <w:rPr>
          <w:color w:val="595959" w:themeColor="text1" w:themeTint="A6"/>
          <w:sz w:val="16"/>
          <w:szCs w:val="16"/>
          <w:lang w:val="en-AU"/>
        </w:rPr>
        <w:t xml:space="preserve">See </w:t>
      </w:r>
      <w:r>
        <w:rPr>
          <w:color w:val="595959" w:themeColor="text1" w:themeTint="A6"/>
          <w:sz w:val="16"/>
          <w:szCs w:val="16"/>
          <w:lang w:val="en-AU"/>
        </w:rPr>
        <w:t>s</w:t>
      </w:r>
      <w:r w:rsidRPr="0000794D">
        <w:rPr>
          <w:color w:val="595959" w:themeColor="text1" w:themeTint="A6"/>
          <w:sz w:val="16"/>
          <w:szCs w:val="16"/>
          <w:lang w:val="en-AU"/>
        </w:rPr>
        <w:t xml:space="preserve"> 33(4) of the </w:t>
      </w:r>
      <w:r>
        <w:rPr>
          <w:color w:val="595959" w:themeColor="text1" w:themeTint="A6"/>
          <w:sz w:val="16"/>
          <w:szCs w:val="16"/>
          <w:lang w:val="en-AU"/>
        </w:rPr>
        <w:t>FOI Act</w:t>
      </w:r>
      <w:r w:rsidRPr="0000794D">
        <w:rPr>
          <w:color w:val="595959" w:themeColor="text1" w:themeTint="A6"/>
          <w:sz w:val="16"/>
          <w:szCs w:val="16"/>
          <w:lang w:val="en-AU"/>
        </w:rPr>
        <w:t xml:space="preserve">. </w:t>
      </w:r>
    </w:p>
  </w:footnote>
  <w:footnote w:id="16">
    <w:p w14:paraId="52EB01F0" w14:textId="77777777" w:rsidR="002574C7" w:rsidRPr="0000794D" w:rsidRDefault="002574C7" w:rsidP="006733D2">
      <w:pPr>
        <w:pStyle w:val="FootnoteText"/>
        <w:rPr>
          <w:color w:val="595959" w:themeColor="text1" w:themeTint="A6"/>
          <w:sz w:val="16"/>
          <w:szCs w:val="16"/>
          <w:lang w:val="en-AU"/>
        </w:rPr>
      </w:pPr>
      <w:r w:rsidRPr="0000794D">
        <w:rPr>
          <w:rStyle w:val="FootnoteReference"/>
          <w:color w:val="595959" w:themeColor="text1" w:themeTint="A6"/>
          <w:sz w:val="16"/>
          <w:szCs w:val="16"/>
        </w:rPr>
        <w:footnoteRef/>
      </w:r>
      <w:r w:rsidRPr="0000794D">
        <w:rPr>
          <w:color w:val="595959" w:themeColor="text1" w:themeTint="A6"/>
          <w:sz w:val="16"/>
          <w:szCs w:val="16"/>
        </w:rPr>
        <w:t xml:space="preserve"> </w:t>
      </w:r>
      <w:r w:rsidRPr="0000794D">
        <w:rPr>
          <w:color w:val="595959" w:themeColor="text1" w:themeTint="A6"/>
          <w:sz w:val="16"/>
          <w:szCs w:val="16"/>
          <w:lang w:val="en-AU"/>
        </w:rPr>
        <w:t xml:space="preserve">Under the new </w:t>
      </w:r>
      <w:r>
        <w:rPr>
          <w:color w:val="595959" w:themeColor="text1" w:themeTint="A6"/>
          <w:sz w:val="16"/>
          <w:szCs w:val="16"/>
          <w:lang w:val="en-AU"/>
        </w:rPr>
        <w:t>s</w:t>
      </w:r>
      <w:r w:rsidRPr="0000794D">
        <w:rPr>
          <w:color w:val="595959" w:themeColor="text1" w:themeTint="A6"/>
          <w:sz w:val="16"/>
          <w:szCs w:val="16"/>
          <w:lang w:val="en-AU"/>
        </w:rPr>
        <w:t xml:space="preserve"> 33(2AB) of the </w:t>
      </w:r>
      <w:r>
        <w:rPr>
          <w:color w:val="595959" w:themeColor="text1" w:themeTint="A6"/>
          <w:sz w:val="16"/>
          <w:szCs w:val="16"/>
          <w:lang w:val="en-AU"/>
        </w:rPr>
        <w:t>FOI Act.</w:t>
      </w:r>
    </w:p>
  </w:footnote>
  <w:footnote w:id="17">
    <w:p w14:paraId="1CB64315" w14:textId="3BD7D9E1" w:rsidR="002574C7" w:rsidRPr="0000794D" w:rsidRDefault="002574C7" w:rsidP="006733D2">
      <w:pPr>
        <w:pStyle w:val="FootnoteText"/>
        <w:rPr>
          <w:color w:val="595959" w:themeColor="text1" w:themeTint="A6"/>
          <w:sz w:val="16"/>
          <w:szCs w:val="16"/>
          <w:lang w:val="en-AU"/>
        </w:rPr>
      </w:pPr>
      <w:r w:rsidRPr="0000794D">
        <w:rPr>
          <w:rStyle w:val="FootnoteReference"/>
          <w:color w:val="595959" w:themeColor="text1" w:themeTint="A6"/>
          <w:sz w:val="16"/>
        </w:rPr>
        <w:footnoteRef/>
      </w:r>
      <w:r w:rsidRPr="0000794D">
        <w:rPr>
          <w:color w:val="595959" w:themeColor="text1" w:themeTint="A6"/>
        </w:rPr>
        <w:t xml:space="preserve"> </w:t>
      </w:r>
      <w:r w:rsidRPr="0000794D">
        <w:rPr>
          <w:color w:val="595959" w:themeColor="text1" w:themeTint="A6"/>
          <w:sz w:val="16"/>
          <w:szCs w:val="16"/>
          <w:lang w:val="en-AU"/>
        </w:rPr>
        <w:t xml:space="preserve">A </w:t>
      </w:r>
      <w:r w:rsidR="00445B42">
        <w:rPr>
          <w:color w:val="595959" w:themeColor="text1" w:themeTint="A6"/>
          <w:sz w:val="16"/>
          <w:szCs w:val="16"/>
          <w:lang w:val="en-AU"/>
        </w:rPr>
        <w:t>victim survivor</w:t>
      </w:r>
      <w:r w:rsidRPr="0000794D">
        <w:rPr>
          <w:color w:val="595959" w:themeColor="text1" w:themeTint="A6"/>
          <w:sz w:val="16"/>
          <w:szCs w:val="16"/>
          <w:lang w:val="en-AU"/>
        </w:rPr>
        <w:t xml:space="preserve"> can include: an affected family member, a child, or a protected person.</w:t>
      </w:r>
    </w:p>
  </w:footnote>
  <w:footnote w:id="18">
    <w:p w14:paraId="17384FE1" w14:textId="77777777" w:rsidR="002574C7" w:rsidRPr="0000794D" w:rsidRDefault="002574C7" w:rsidP="006733D2">
      <w:pPr>
        <w:pStyle w:val="FootnoteText"/>
        <w:rPr>
          <w:color w:val="595959" w:themeColor="text1" w:themeTint="A6"/>
          <w:sz w:val="16"/>
          <w:szCs w:val="16"/>
          <w:lang w:val="en-AU"/>
        </w:rPr>
      </w:pPr>
      <w:r w:rsidRPr="0000794D">
        <w:rPr>
          <w:rStyle w:val="FootnoteReference"/>
          <w:color w:val="595959" w:themeColor="text1" w:themeTint="A6"/>
          <w:sz w:val="16"/>
          <w:szCs w:val="16"/>
        </w:rPr>
        <w:footnoteRef/>
      </w:r>
      <w:r w:rsidRPr="0000794D">
        <w:rPr>
          <w:color w:val="595959" w:themeColor="text1" w:themeTint="A6"/>
          <w:sz w:val="16"/>
          <w:szCs w:val="16"/>
        </w:rPr>
        <w:t xml:space="preserve"> </w:t>
      </w:r>
      <w:r w:rsidRPr="0000794D">
        <w:rPr>
          <w:color w:val="595959" w:themeColor="text1" w:themeTint="A6"/>
          <w:sz w:val="16"/>
          <w:szCs w:val="16"/>
          <w:lang w:val="en-AU"/>
        </w:rPr>
        <w:t>Under the new section 144QE of the FVP Act.</w:t>
      </w:r>
    </w:p>
  </w:footnote>
  <w:footnote w:id="19">
    <w:p w14:paraId="665D16A5" w14:textId="77777777" w:rsidR="002574C7" w:rsidRPr="0000794D" w:rsidRDefault="002574C7" w:rsidP="00DB2EF3">
      <w:pPr>
        <w:pStyle w:val="FootnoteText"/>
        <w:rPr>
          <w:color w:val="595959" w:themeColor="text1" w:themeTint="A6"/>
          <w:lang w:val="en-AU"/>
        </w:rPr>
      </w:pPr>
      <w:r w:rsidRPr="0000794D">
        <w:rPr>
          <w:rStyle w:val="FootnoteReference"/>
          <w:color w:val="595959" w:themeColor="text1" w:themeTint="A6"/>
          <w:sz w:val="16"/>
          <w:szCs w:val="16"/>
        </w:rPr>
        <w:footnoteRef/>
      </w:r>
      <w:r w:rsidRPr="0000794D">
        <w:rPr>
          <w:color w:val="595959" w:themeColor="text1" w:themeTint="A6"/>
          <w:sz w:val="16"/>
          <w:szCs w:val="16"/>
        </w:rPr>
        <w:t xml:space="preserve"> </w:t>
      </w:r>
      <w:r w:rsidRPr="0000794D">
        <w:rPr>
          <w:color w:val="595959" w:themeColor="text1" w:themeTint="A6"/>
          <w:sz w:val="16"/>
          <w:szCs w:val="16"/>
          <w:lang w:val="en-AU"/>
        </w:rPr>
        <w:t xml:space="preserve">See Chapter 11 of the Guidelines. </w:t>
      </w:r>
    </w:p>
  </w:footnote>
  <w:footnote w:id="20">
    <w:p w14:paraId="1C3AA2B7" w14:textId="77777777" w:rsidR="002574C7" w:rsidRPr="00D242A7" w:rsidRDefault="002574C7" w:rsidP="0043503F">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 xml:space="preserve">See s 144C of the </w:t>
      </w:r>
      <w:r w:rsidRPr="00D242A7">
        <w:rPr>
          <w:color w:val="55565A"/>
          <w:sz w:val="16"/>
          <w:szCs w:val="16"/>
        </w:rPr>
        <w:t>FVP Act</w:t>
      </w:r>
      <w:r w:rsidRPr="00D242A7">
        <w:rPr>
          <w:color w:val="55565A"/>
          <w:sz w:val="16"/>
          <w:szCs w:val="16"/>
          <w:lang w:val="en-AU"/>
        </w:rPr>
        <w:t xml:space="preserve"> and page 29 of the Guidelines for a full list of the types of information deemed ‘excluded information’. </w:t>
      </w:r>
    </w:p>
  </w:footnote>
  <w:footnote w:id="21">
    <w:p w14:paraId="10811A1B" w14:textId="77777777" w:rsidR="002574C7" w:rsidRPr="00D242A7" w:rsidRDefault="002574C7" w:rsidP="0043503F">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See page 36 of the Guidelines.  </w:t>
      </w:r>
    </w:p>
  </w:footnote>
  <w:footnote w:id="22">
    <w:p w14:paraId="43D32632" w14:textId="77777777" w:rsidR="002574C7" w:rsidRPr="00D242A7" w:rsidRDefault="002574C7" w:rsidP="0043503F">
      <w:pPr>
        <w:pStyle w:val="FootnoteText"/>
        <w:rPr>
          <w:color w:val="55565A"/>
          <w:sz w:val="16"/>
          <w:szCs w:val="16"/>
          <w:lang w:val="en-AU"/>
        </w:rPr>
      </w:pPr>
      <w:r w:rsidRPr="00D242A7">
        <w:rPr>
          <w:rStyle w:val="FootnoteReference"/>
          <w:color w:val="55565A"/>
          <w:sz w:val="16"/>
          <w:szCs w:val="16"/>
        </w:rPr>
        <w:footnoteRef/>
      </w:r>
      <w:r w:rsidRPr="00D242A7">
        <w:rPr>
          <w:color w:val="55565A"/>
          <w:sz w:val="16"/>
          <w:szCs w:val="16"/>
        </w:rPr>
        <w:t xml:space="preserve"> </w:t>
      </w:r>
      <w:r w:rsidRPr="00D242A7">
        <w:rPr>
          <w:color w:val="55565A"/>
          <w:sz w:val="16"/>
          <w:szCs w:val="16"/>
          <w:lang w:val="en-AU"/>
        </w:rPr>
        <w:t xml:space="preserve">See Chapter 1 of the Guidelines. </w:t>
      </w:r>
    </w:p>
  </w:footnote>
  <w:footnote w:id="23">
    <w:p w14:paraId="166D2256"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 xml:space="preserve">As above. </w:t>
      </w:r>
    </w:p>
  </w:footnote>
  <w:footnote w:id="24">
    <w:p w14:paraId="73CAEC5F"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See Question 16 below for an outline of the conditions for consent under the scheme. Practitioners should also refer to Chapter 9 of the Guidelines for more information regarding consent provisions.  </w:t>
      </w:r>
    </w:p>
  </w:footnote>
  <w:footnote w:id="25">
    <w:p w14:paraId="4ADADC04"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 xml:space="preserve">See Chapter 11 of the Guidelines. </w:t>
      </w:r>
    </w:p>
  </w:footnote>
  <w:footnote w:id="26">
    <w:p w14:paraId="493767AF"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See </w:t>
      </w:r>
      <w:r w:rsidRPr="0095638A">
        <w:rPr>
          <w:color w:val="55565A"/>
          <w:sz w:val="16"/>
          <w:szCs w:val="16"/>
          <w:lang w:val="en-AU"/>
        </w:rPr>
        <w:t>Chapter 1 of the Guidelines for an overview of Part 5A. Other matters practitioners should have regard to include</w:t>
      </w:r>
      <w:r w:rsidR="007B18AA">
        <w:rPr>
          <w:color w:val="55565A"/>
          <w:sz w:val="16"/>
          <w:szCs w:val="16"/>
          <w:lang w:val="en-AU"/>
        </w:rPr>
        <w:t>;</w:t>
      </w:r>
      <w:r w:rsidRPr="0095638A">
        <w:rPr>
          <w:color w:val="55565A"/>
          <w:sz w:val="16"/>
          <w:szCs w:val="16"/>
          <w:lang w:val="en-AU"/>
        </w:rPr>
        <w:t xml:space="preserve"> available staff training and the new Family Violence Risk Assessment and Risk Management Framework. </w:t>
      </w:r>
    </w:p>
  </w:footnote>
  <w:footnote w:id="27">
    <w:p w14:paraId="6D91836E" w14:textId="77777777" w:rsidR="002574C7" w:rsidRPr="0095638A" w:rsidRDefault="002574C7" w:rsidP="0043503F">
      <w:pPr>
        <w:pStyle w:val="FootnoteText"/>
        <w:rPr>
          <w:color w:val="55565A"/>
          <w:sz w:val="16"/>
          <w:szCs w:val="16"/>
        </w:rPr>
      </w:pPr>
      <w:r w:rsidRPr="0095638A">
        <w:rPr>
          <w:rStyle w:val="FootnoteReference"/>
          <w:color w:val="55565A"/>
          <w:sz w:val="16"/>
          <w:szCs w:val="16"/>
        </w:rPr>
        <w:footnoteRef/>
      </w:r>
      <w:r w:rsidRPr="0095638A">
        <w:rPr>
          <w:color w:val="55565A"/>
          <w:sz w:val="16"/>
          <w:szCs w:val="16"/>
        </w:rPr>
        <w:t xml:space="preserve"> See </w:t>
      </w:r>
      <w:r w:rsidR="007B18AA">
        <w:rPr>
          <w:color w:val="55565A"/>
          <w:sz w:val="16"/>
          <w:szCs w:val="16"/>
        </w:rPr>
        <w:t>Division 2 of Part 5A</w:t>
      </w:r>
      <w:r w:rsidRPr="0095638A">
        <w:rPr>
          <w:color w:val="55565A"/>
          <w:sz w:val="16"/>
          <w:szCs w:val="16"/>
        </w:rPr>
        <w:t xml:space="preserve"> of the FVP Act.</w:t>
      </w:r>
    </w:p>
  </w:footnote>
  <w:footnote w:id="28">
    <w:p w14:paraId="026C1185"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Under Division 5 of Part 5A of the FVP Act. </w:t>
      </w:r>
    </w:p>
  </w:footnote>
  <w:footnote w:id="29">
    <w:p w14:paraId="06E8C6DB"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See s 144KA of the FVP Act.</w:t>
      </w:r>
    </w:p>
  </w:footnote>
  <w:footnote w:id="30">
    <w:p w14:paraId="2B216121"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 xml:space="preserve">See </w:t>
      </w:r>
      <w:r w:rsidRPr="0095638A">
        <w:rPr>
          <w:color w:val="55565A"/>
          <w:sz w:val="16"/>
          <w:szCs w:val="16"/>
        </w:rPr>
        <w:t>s 144LA of the FVP Act.</w:t>
      </w:r>
    </w:p>
  </w:footnote>
  <w:footnote w:id="31">
    <w:p w14:paraId="3A9807D8" w14:textId="77777777" w:rsidR="002574C7" w:rsidRPr="0095638A" w:rsidRDefault="002574C7" w:rsidP="0043503F">
      <w:pPr>
        <w:pStyle w:val="FootnoteText"/>
        <w:rPr>
          <w:color w:val="55565A"/>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See s 144M of the FVP Act.</w:t>
      </w:r>
    </w:p>
  </w:footnote>
  <w:footnote w:id="32">
    <w:p w14:paraId="7571C464"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Under s 144N of the FVP Act. See also page 45 of the Guidelines. </w:t>
      </w:r>
    </w:p>
  </w:footnote>
  <w:footnote w:id="33">
    <w:p w14:paraId="28882D76"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 xml:space="preserve">The five elements of consent for the purposes of the scheme are contained in Chapter 9 of the Guidelines. </w:t>
      </w:r>
    </w:p>
  </w:footnote>
  <w:footnote w:id="34">
    <w:p w14:paraId="0B44C889"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See </w:t>
      </w:r>
      <w:r w:rsidRPr="0095638A">
        <w:rPr>
          <w:color w:val="55565A"/>
          <w:sz w:val="16"/>
          <w:szCs w:val="16"/>
          <w:lang w:val="en-US"/>
        </w:rPr>
        <w:t>s 144NB of the FVP Act.</w:t>
      </w:r>
    </w:p>
  </w:footnote>
  <w:footnote w:id="35">
    <w:p w14:paraId="68CDD9E1" w14:textId="77777777" w:rsidR="002574C7" w:rsidRPr="0095638A" w:rsidRDefault="002574C7" w:rsidP="0043503F">
      <w:pPr>
        <w:pStyle w:val="FootnoteText"/>
        <w:rPr>
          <w:rStyle w:val="FootnoteReference"/>
          <w:color w:val="55565A"/>
          <w:sz w:val="16"/>
          <w:szCs w:val="16"/>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 xml:space="preserve">Under s 144J(3)(a) of the </w:t>
      </w:r>
      <w:r w:rsidRPr="0095638A">
        <w:rPr>
          <w:color w:val="55565A"/>
          <w:sz w:val="16"/>
          <w:szCs w:val="16"/>
        </w:rPr>
        <w:t>FVP Act</w:t>
      </w:r>
      <w:r w:rsidRPr="0095638A">
        <w:rPr>
          <w:color w:val="55565A"/>
          <w:sz w:val="16"/>
          <w:szCs w:val="16"/>
          <w:lang w:val="en-AU"/>
        </w:rPr>
        <w:t>. See also page 65 of the Guidelines.</w:t>
      </w:r>
    </w:p>
  </w:footnote>
  <w:footnote w:id="36">
    <w:p w14:paraId="3C2C69BA" w14:textId="77777777" w:rsidR="002574C7" w:rsidRPr="0095638A" w:rsidRDefault="002574C7" w:rsidP="0043503F">
      <w:pPr>
        <w:pStyle w:val="FootnoteText"/>
        <w:rPr>
          <w:color w:val="55565A"/>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See Division 9 of Part 5A of the FVP Act.</w:t>
      </w:r>
    </w:p>
  </w:footnote>
  <w:footnote w:id="37">
    <w:p w14:paraId="0EE0C802"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 xml:space="preserve">See Chapter 12 of the Guidelines. </w:t>
      </w:r>
    </w:p>
  </w:footnote>
  <w:footnote w:id="38">
    <w:p w14:paraId="6065BA7C" w14:textId="77777777" w:rsidR="002574C7" w:rsidRPr="0095638A" w:rsidRDefault="002574C7" w:rsidP="0043503F">
      <w:pPr>
        <w:pStyle w:val="FootnoteText"/>
        <w:rPr>
          <w:color w:val="55565A"/>
          <w:sz w:val="16"/>
          <w:szCs w:val="16"/>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 xml:space="preserve">Under s 82 of the PDPA. </w:t>
      </w:r>
    </w:p>
  </w:footnote>
  <w:footnote w:id="39">
    <w:p w14:paraId="39B00502" w14:textId="77777777" w:rsidR="002574C7" w:rsidRPr="0095638A" w:rsidRDefault="002574C7" w:rsidP="0043503F">
      <w:pPr>
        <w:pStyle w:val="FootnoteText"/>
        <w:rPr>
          <w:color w:val="55565A"/>
          <w:lang w:val="en-AU"/>
        </w:rPr>
      </w:pPr>
      <w:r w:rsidRPr="0095638A">
        <w:rPr>
          <w:rStyle w:val="FootnoteReference"/>
          <w:color w:val="55565A"/>
          <w:sz w:val="16"/>
          <w:szCs w:val="16"/>
        </w:rPr>
        <w:footnoteRef/>
      </w:r>
      <w:r w:rsidRPr="0095638A">
        <w:rPr>
          <w:color w:val="55565A"/>
          <w:sz w:val="16"/>
          <w:szCs w:val="16"/>
        </w:rPr>
        <w:t xml:space="preserve"> </w:t>
      </w:r>
      <w:r w:rsidRPr="0095638A">
        <w:rPr>
          <w:color w:val="55565A"/>
          <w:sz w:val="16"/>
          <w:szCs w:val="16"/>
          <w:lang w:val="en-AU"/>
        </w:rPr>
        <w:t>Under s 71 of the HRA.</w:t>
      </w:r>
      <w:r w:rsidRPr="0095638A">
        <w:rPr>
          <w:color w:val="55565A"/>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5F1F" w14:textId="77777777" w:rsidR="00D145B3" w:rsidRDefault="00D14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256D" w14:textId="77777777" w:rsidR="00D145B3" w:rsidRDefault="00D14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0518" w14:textId="2B521898" w:rsidR="002574C7" w:rsidRPr="006978C4" w:rsidRDefault="002574C7" w:rsidP="006978C4">
    <w:pPr>
      <w:tabs>
        <w:tab w:val="left" w:pos="6946"/>
      </w:tabs>
      <w:spacing w:after="180"/>
      <w:rPr>
        <w:color w:val="7F7F7F"/>
        <w:sz w:val="26"/>
        <w:szCs w:val="26"/>
      </w:rPr>
    </w:pPr>
    <w:r w:rsidRPr="006978C4">
      <w:rPr>
        <w:noProof/>
        <w:color w:val="7F7F7F"/>
        <w:sz w:val="28"/>
        <w:szCs w:val="28"/>
        <w:lang w:val="en-AU" w:eastAsia="en-AU"/>
      </w:rPr>
      <w:drawing>
        <wp:anchor distT="0" distB="0" distL="114300" distR="114300" simplePos="0" relativeHeight="251657728" behindDoc="0" locked="0" layoutInCell="1" allowOverlap="1" wp14:anchorId="36085A55" wp14:editId="797E365B">
          <wp:simplePos x="0" y="0"/>
          <wp:positionH relativeFrom="column">
            <wp:posOffset>1956435</wp:posOffset>
          </wp:positionH>
          <wp:positionV relativeFrom="paragraph">
            <wp:posOffset>-99695</wp:posOffset>
          </wp:positionV>
          <wp:extent cx="1200000" cy="720000"/>
          <wp:effectExtent l="0" t="0" r="635" b="4445"/>
          <wp:wrapNone/>
          <wp:docPr id="2" name="Picture 2" descr="C:\Users\vicum6x\AppData\Local\Temp\notes228B5D\pic2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um6x\AppData\Local\Temp\notes228B5D\pic217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8C4">
      <w:rPr>
        <w:noProof/>
        <w:color w:val="7F7F7F"/>
        <w:sz w:val="28"/>
        <w:szCs w:val="28"/>
        <w:lang w:val="en-AU" w:eastAsia="en-AU"/>
      </w:rPr>
      <w:drawing>
        <wp:anchor distT="0" distB="0" distL="114300" distR="114300" simplePos="0" relativeHeight="251656704" behindDoc="1" locked="0" layoutInCell="1" allowOverlap="1" wp14:anchorId="45902634" wp14:editId="60052579">
          <wp:simplePos x="0" y="0"/>
          <wp:positionH relativeFrom="column">
            <wp:posOffset>6350</wp:posOffset>
          </wp:positionH>
          <wp:positionV relativeFrom="paragraph">
            <wp:posOffset>-47625</wp:posOffset>
          </wp:positionV>
          <wp:extent cx="1565910" cy="720090"/>
          <wp:effectExtent l="0" t="0" r="0" b="0"/>
          <wp:wrapThrough wrapText="bothSides">
            <wp:wrapPolygon edited="0">
              <wp:start x="0" y="0"/>
              <wp:lineTo x="0" y="20571"/>
              <wp:lineTo x="21372" y="20571"/>
              <wp:lineTo x="21372"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8C4">
      <w:rPr>
        <w:color w:val="7F7F7F"/>
        <w:sz w:val="28"/>
        <w:szCs w:val="28"/>
      </w:rPr>
      <w:tab/>
    </w:r>
    <w:r w:rsidRPr="006978C4">
      <w:rPr>
        <w:color w:val="555559"/>
        <w:sz w:val="26"/>
        <w:szCs w:val="26"/>
      </w:rPr>
      <w:t>INFORMATION FOR</w:t>
    </w:r>
    <w:r w:rsidRPr="006978C4">
      <w:rPr>
        <w:color w:val="7F7F7F"/>
        <w:sz w:val="26"/>
        <w:szCs w:val="26"/>
      </w:rPr>
      <w:br/>
    </w:r>
    <w:r w:rsidRPr="006978C4">
      <w:rPr>
        <w:color w:val="7F7F7F"/>
        <w:sz w:val="26"/>
        <w:szCs w:val="26"/>
      </w:rPr>
      <w:tab/>
    </w:r>
    <w:r w:rsidR="00D145B3">
      <w:rPr>
        <w:color w:val="430098"/>
        <w:sz w:val="26"/>
        <w:szCs w:val="26"/>
      </w:rPr>
      <w:t>ORGANISATIONS</w:t>
    </w:r>
  </w:p>
  <w:p w14:paraId="756F1FD0" w14:textId="0786449B" w:rsidR="002574C7" w:rsidRPr="006978C4" w:rsidRDefault="002574C7" w:rsidP="006978C4">
    <w:pPr>
      <w:tabs>
        <w:tab w:val="left" w:pos="6946"/>
        <w:tab w:val="right" w:pos="9026"/>
      </w:tabs>
      <w:rPr>
        <w:color w:val="7F7F7F"/>
        <w:sz w:val="20"/>
        <w:szCs w:val="20"/>
      </w:rPr>
    </w:pPr>
    <w:r w:rsidRPr="006978C4">
      <w:rPr>
        <w:color w:val="7F7F7F"/>
        <w:sz w:val="20"/>
        <w:szCs w:val="20"/>
      </w:rPr>
      <w:tab/>
    </w:r>
  </w:p>
  <w:p w14:paraId="4324744F" w14:textId="77777777" w:rsidR="002574C7" w:rsidRPr="006978C4" w:rsidRDefault="002574C7" w:rsidP="006978C4">
    <w:pPr>
      <w:tabs>
        <w:tab w:val="center" w:pos="4513"/>
        <w:tab w:val="left" w:pos="6946"/>
        <w:tab w:val="right" w:pos="9026"/>
      </w:tabs>
      <w:spacing w:before="120"/>
      <w:rPr>
        <w:color w:val="7F7F7F"/>
        <w:sz w:val="20"/>
        <w:szCs w:val="20"/>
      </w:rPr>
    </w:pPr>
    <w:r w:rsidRPr="006978C4">
      <w:rPr>
        <w:noProof/>
        <w:color w:val="7F7F7F"/>
        <w:sz w:val="20"/>
        <w:szCs w:val="20"/>
        <w:lang w:val="en-AU" w:eastAsia="en-AU"/>
      </w:rPr>
      <w:drawing>
        <wp:inline distT="0" distB="0" distL="0" distR="0" wp14:anchorId="690AE146" wp14:editId="6171195D">
          <wp:extent cx="6120765" cy="73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765" cy="73025"/>
                  </a:xfrm>
                  <a:prstGeom prst="rect">
                    <a:avLst/>
                  </a:prstGeom>
                  <a:noFill/>
                </pic:spPr>
              </pic:pic>
            </a:graphicData>
          </a:graphic>
        </wp:inline>
      </w:drawing>
    </w:r>
  </w:p>
  <w:p w14:paraId="688EDD61" w14:textId="77777777" w:rsidR="002574C7" w:rsidRPr="00D73297" w:rsidRDefault="002574C7" w:rsidP="006978C4">
    <w:pPr>
      <w:tabs>
        <w:tab w:val="center" w:pos="4513"/>
        <w:tab w:val="left" w:pos="6946"/>
      </w:tabs>
      <w:spacing w:before="240" w:after="120"/>
      <w:rPr>
        <w:rFonts w:asciiTheme="minorHAnsi" w:hAnsiTheme="minorHAnsi" w:cs="Arial"/>
        <w:b/>
        <w:color w:val="430098"/>
        <w:sz w:val="40"/>
        <w:szCs w:val="40"/>
      </w:rPr>
    </w:pPr>
    <w:r w:rsidRPr="00D73297">
      <w:rPr>
        <w:rFonts w:asciiTheme="minorHAnsi" w:hAnsiTheme="minorHAnsi" w:cs="Arial"/>
        <w:b/>
        <w:color w:val="430098"/>
        <w:sz w:val="40"/>
        <w:szCs w:val="40"/>
      </w:rPr>
      <w:t>Family violence information sharing scheme and privacy law in Victoria</w:t>
    </w:r>
  </w:p>
  <w:p w14:paraId="4BCFB48B" w14:textId="77777777" w:rsidR="002574C7" w:rsidRPr="00D73297" w:rsidRDefault="002574C7" w:rsidP="00C667D7">
    <w:pPr>
      <w:tabs>
        <w:tab w:val="center" w:pos="4513"/>
        <w:tab w:val="left" w:pos="6946"/>
        <w:tab w:val="right" w:pos="9026"/>
      </w:tabs>
      <w:rPr>
        <w:rFonts w:asciiTheme="minorHAnsi" w:hAnsiTheme="minorHAnsi" w:cs="Arial"/>
        <w:color w:val="555559"/>
        <w:sz w:val="30"/>
        <w:szCs w:val="30"/>
      </w:rPr>
    </w:pPr>
    <w:r w:rsidRPr="00D73297">
      <w:rPr>
        <w:rFonts w:asciiTheme="minorHAnsi" w:hAnsiTheme="minorHAnsi" w:cs="Arial"/>
        <w:color w:val="555559"/>
        <w:sz w:val="30"/>
        <w:szCs w:val="30"/>
      </w:rPr>
      <w:t xml:space="preserve">Frequently Asked Questions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A776" w14:textId="77777777" w:rsidR="002574C7" w:rsidRPr="0043503F" w:rsidRDefault="002574C7" w:rsidP="004350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8823" w14:textId="77777777" w:rsidR="002574C7" w:rsidRPr="006978C4" w:rsidRDefault="002574C7" w:rsidP="00DB0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230"/>
    <w:multiLevelType w:val="hybridMultilevel"/>
    <w:tmpl w:val="4BEC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781DDB"/>
    <w:multiLevelType w:val="hybridMultilevel"/>
    <w:tmpl w:val="139E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8D8"/>
    <w:multiLevelType w:val="hybridMultilevel"/>
    <w:tmpl w:val="41C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A21A4"/>
    <w:multiLevelType w:val="hybridMultilevel"/>
    <w:tmpl w:val="C4E8B1D4"/>
    <w:lvl w:ilvl="0" w:tplc="6C7EC00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0B0B28"/>
    <w:multiLevelType w:val="hybridMultilevel"/>
    <w:tmpl w:val="610694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4A6F3EB5"/>
    <w:multiLevelType w:val="hybridMultilevel"/>
    <w:tmpl w:val="C692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A36C31"/>
    <w:multiLevelType w:val="hybridMultilevel"/>
    <w:tmpl w:val="82CC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4030C3"/>
    <w:multiLevelType w:val="hybridMultilevel"/>
    <w:tmpl w:val="EC6E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D94848"/>
    <w:multiLevelType w:val="hybridMultilevel"/>
    <w:tmpl w:val="5004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773936"/>
    <w:multiLevelType w:val="hybridMultilevel"/>
    <w:tmpl w:val="F3EAEB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62315E2"/>
    <w:multiLevelType w:val="hybridMultilevel"/>
    <w:tmpl w:val="5366F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483711"/>
    <w:multiLevelType w:val="hybridMultilevel"/>
    <w:tmpl w:val="9F5AC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01D65F6"/>
    <w:multiLevelType w:val="hybridMultilevel"/>
    <w:tmpl w:val="D25A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A94423"/>
    <w:multiLevelType w:val="hybridMultilevel"/>
    <w:tmpl w:val="55C6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13288"/>
    <w:multiLevelType w:val="hybridMultilevel"/>
    <w:tmpl w:val="FE721876"/>
    <w:lvl w:ilvl="0" w:tplc="B244852C">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D25E07"/>
    <w:multiLevelType w:val="hybridMultilevel"/>
    <w:tmpl w:val="B26EA73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nsid w:val="7F3729AD"/>
    <w:multiLevelType w:val="hybridMultilevel"/>
    <w:tmpl w:val="3A76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9"/>
  </w:num>
  <w:num w:numId="5">
    <w:abstractNumId w:val="13"/>
  </w:num>
  <w:num w:numId="6">
    <w:abstractNumId w:val="3"/>
  </w:num>
  <w:num w:numId="7">
    <w:abstractNumId w:val="11"/>
  </w:num>
  <w:num w:numId="8">
    <w:abstractNumId w:val="2"/>
  </w:num>
  <w:num w:numId="9">
    <w:abstractNumId w:val="12"/>
  </w:num>
  <w:num w:numId="10">
    <w:abstractNumId w:val="1"/>
  </w:num>
  <w:num w:numId="11">
    <w:abstractNumId w:val="17"/>
  </w:num>
  <w:num w:numId="12">
    <w:abstractNumId w:val="14"/>
  </w:num>
  <w:num w:numId="13">
    <w:abstractNumId w:val="6"/>
  </w:num>
  <w:num w:numId="14">
    <w:abstractNumId w:val="15"/>
  </w:num>
  <w:num w:numId="15">
    <w:abstractNumId w:val="18"/>
  </w:num>
  <w:num w:numId="16">
    <w:abstractNumId w:val="8"/>
  </w:num>
  <w:num w:numId="17">
    <w:abstractNumId w:val="1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C4"/>
    <w:rsid w:val="0000794D"/>
    <w:rsid w:val="00015083"/>
    <w:rsid w:val="00053275"/>
    <w:rsid w:val="00064688"/>
    <w:rsid w:val="00077961"/>
    <w:rsid w:val="000856C2"/>
    <w:rsid w:val="000919EC"/>
    <w:rsid w:val="00091CB4"/>
    <w:rsid w:val="000E717A"/>
    <w:rsid w:val="000E7FAE"/>
    <w:rsid w:val="000F3A12"/>
    <w:rsid w:val="001064BA"/>
    <w:rsid w:val="001159CB"/>
    <w:rsid w:val="00164A42"/>
    <w:rsid w:val="00177386"/>
    <w:rsid w:val="001967FD"/>
    <w:rsid w:val="001B1C2A"/>
    <w:rsid w:val="001F1734"/>
    <w:rsid w:val="0025217E"/>
    <w:rsid w:val="00255FFF"/>
    <w:rsid w:val="002574C7"/>
    <w:rsid w:val="002A48A0"/>
    <w:rsid w:val="002C3CE5"/>
    <w:rsid w:val="002D4575"/>
    <w:rsid w:val="002F3E23"/>
    <w:rsid w:val="00301C19"/>
    <w:rsid w:val="00305D40"/>
    <w:rsid w:val="00314780"/>
    <w:rsid w:val="00322784"/>
    <w:rsid w:val="00326E58"/>
    <w:rsid w:val="0034735D"/>
    <w:rsid w:val="003515E2"/>
    <w:rsid w:val="00370F3D"/>
    <w:rsid w:val="00372C3E"/>
    <w:rsid w:val="00384F15"/>
    <w:rsid w:val="003A1968"/>
    <w:rsid w:val="003A7085"/>
    <w:rsid w:val="003C6D10"/>
    <w:rsid w:val="003D2048"/>
    <w:rsid w:val="0043503F"/>
    <w:rsid w:val="00445B42"/>
    <w:rsid w:val="00450FBB"/>
    <w:rsid w:val="004C3C9A"/>
    <w:rsid w:val="004C6613"/>
    <w:rsid w:val="004F0057"/>
    <w:rsid w:val="00502CD1"/>
    <w:rsid w:val="00512D91"/>
    <w:rsid w:val="0053783E"/>
    <w:rsid w:val="00555602"/>
    <w:rsid w:val="00563EDA"/>
    <w:rsid w:val="005677DE"/>
    <w:rsid w:val="005870C5"/>
    <w:rsid w:val="0059602C"/>
    <w:rsid w:val="005B43BC"/>
    <w:rsid w:val="00635E9F"/>
    <w:rsid w:val="00662FFB"/>
    <w:rsid w:val="006713D1"/>
    <w:rsid w:val="006733D2"/>
    <w:rsid w:val="0068576B"/>
    <w:rsid w:val="00692D3A"/>
    <w:rsid w:val="006978C4"/>
    <w:rsid w:val="006A634F"/>
    <w:rsid w:val="006B1C0F"/>
    <w:rsid w:val="00723ACA"/>
    <w:rsid w:val="00760DDC"/>
    <w:rsid w:val="00765158"/>
    <w:rsid w:val="00780584"/>
    <w:rsid w:val="007A6656"/>
    <w:rsid w:val="007A6964"/>
    <w:rsid w:val="007B18AA"/>
    <w:rsid w:val="007C0712"/>
    <w:rsid w:val="007C4310"/>
    <w:rsid w:val="007C54F4"/>
    <w:rsid w:val="007C77C8"/>
    <w:rsid w:val="0081691E"/>
    <w:rsid w:val="008335B8"/>
    <w:rsid w:val="008442C2"/>
    <w:rsid w:val="0085495F"/>
    <w:rsid w:val="00863040"/>
    <w:rsid w:val="0086734F"/>
    <w:rsid w:val="00893E32"/>
    <w:rsid w:val="008A68C4"/>
    <w:rsid w:val="008B4992"/>
    <w:rsid w:val="008B7923"/>
    <w:rsid w:val="008D46FE"/>
    <w:rsid w:val="008F106C"/>
    <w:rsid w:val="009024FF"/>
    <w:rsid w:val="009330A1"/>
    <w:rsid w:val="00940F43"/>
    <w:rsid w:val="0095638A"/>
    <w:rsid w:val="009D7A02"/>
    <w:rsid w:val="00A06305"/>
    <w:rsid w:val="00A209E9"/>
    <w:rsid w:val="00A25B7D"/>
    <w:rsid w:val="00A33D6F"/>
    <w:rsid w:val="00A91F2D"/>
    <w:rsid w:val="00AA3772"/>
    <w:rsid w:val="00AE13A1"/>
    <w:rsid w:val="00B177DA"/>
    <w:rsid w:val="00B37C5F"/>
    <w:rsid w:val="00B53C78"/>
    <w:rsid w:val="00B65854"/>
    <w:rsid w:val="00BA5E93"/>
    <w:rsid w:val="00BD07DC"/>
    <w:rsid w:val="00BE2361"/>
    <w:rsid w:val="00C168B6"/>
    <w:rsid w:val="00C212D5"/>
    <w:rsid w:val="00C473B0"/>
    <w:rsid w:val="00C667D7"/>
    <w:rsid w:val="00C72045"/>
    <w:rsid w:val="00CB5AAA"/>
    <w:rsid w:val="00CE157A"/>
    <w:rsid w:val="00CE7458"/>
    <w:rsid w:val="00D05A0D"/>
    <w:rsid w:val="00D145B3"/>
    <w:rsid w:val="00D242A7"/>
    <w:rsid w:val="00D267EC"/>
    <w:rsid w:val="00D32D00"/>
    <w:rsid w:val="00D723C1"/>
    <w:rsid w:val="00D73297"/>
    <w:rsid w:val="00DA234D"/>
    <w:rsid w:val="00DB044A"/>
    <w:rsid w:val="00DB13A1"/>
    <w:rsid w:val="00DB2EF3"/>
    <w:rsid w:val="00DB55DB"/>
    <w:rsid w:val="00E45B00"/>
    <w:rsid w:val="00E5250E"/>
    <w:rsid w:val="00E97716"/>
    <w:rsid w:val="00EB5D62"/>
    <w:rsid w:val="00EC2682"/>
    <w:rsid w:val="00EE0633"/>
    <w:rsid w:val="00EF06C1"/>
    <w:rsid w:val="00EF65B2"/>
    <w:rsid w:val="00F17578"/>
    <w:rsid w:val="00F36C34"/>
    <w:rsid w:val="00F402B9"/>
    <w:rsid w:val="00F62A3C"/>
    <w:rsid w:val="00F83814"/>
    <w:rsid w:val="00F87792"/>
    <w:rsid w:val="00FA5EF0"/>
    <w:rsid w:val="00FA6F27"/>
    <w:rsid w:val="00FB37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CCD3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C66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3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23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95638A"/>
    <w:pPr>
      <w:suppressAutoHyphens/>
      <w:spacing w:before="120" w:after="200"/>
    </w:pPr>
    <w:rPr>
      <w:rFonts w:ascii="Calibri" w:hAnsi="Calibri" w:cs="PostGrotesk-Book"/>
      <w:color w:val="55565A"/>
      <w:sz w:val="22"/>
      <w:szCs w:val="22"/>
    </w:rPr>
  </w:style>
  <w:style w:type="paragraph" w:customStyle="1" w:styleId="SectionHeading1">
    <w:name w:val="Section Heading 1"/>
    <w:basedOn w:val="BasicParagraph"/>
    <w:qFormat/>
    <w:rsid w:val="00C168B6"/>
    <w:pPr>
      <w:suppressAutoHyphens/>
      <w:spacing w:after="120"/>
    </w:pPr>
    <w:rPr>
      <w:rFonts w:ascii="Calibri" w:hAnsi="Calibri" w:cs="PostGrotesk-Medium"/>
      <w:color w:val="430098"/>
      <w:sz w:val="26"/>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FootnoteText">
    <w:name w:val="footnote text"/>
    <w:basedOn w:val="Normal"/>
    <w:link w:val="FootnoteTextChar"/>
    <w:uiPriority w:val="99"/>
    <w:semiHidden/>
    <w:unhideWhenUsed/>
    <w:rsid w:val="006978C4"/>
    <w:rPr>
      <w:sz w:val="20"/>
      <w:szCs w:val="20"/>
    </w:rPr>
  </w:style>
  <w:style w:type="character" w:customStyle="1" w:styleId="FootnoteTextChar">
    <w:name w:val="Footnote Text Char"/>
    <w:basedOn w:val="DefaultParagraphFont"/>
    <w:link w:val="FootnoteText"/>
    <w:uiPriority w:val="99"/>
    <w:semiHidden/>
    <w:rsid w:val="006978C4"/>
    <w:rPr>
      <w:lang w:val="en-GB" w:eastAsia="en-US"/>
    </w:rPr>
  </w:style>
  <w:style w:type="character" w:styleId="FootnoteReference">
    <w:name w:val="footnote reference"/>
    <w:basedOn w:val="DefaultParagraphFont"/>
    <w:uiPriority w:val="99"/>
    <w:unhideWhenUsed/>
    <w:rsid w:val="006978C4"/>
    <w:rPr>
      <w:vertAlign w:val="superscript"/>
    </w:rPr>
  </w:style>
  <w:style w:type="paragraph" w:styleId="BalloonText">
    <w:name w:val="Balloon Text"/>
    <w:basedOn w:val="Normal"/>
    <w:link w:val="BalloonTextChar"/>
    <w:uiPriority w:val="99"/>
    <w:semiHidden/>
    <w:unhideWhenUsed/>
    <w:rsid w:val="006978C4"/>
    <w:rPr>
      <w:rFonts w:ascii="Tahoma" w:hAnsi="Tahoma" w:cs="Tahoma"/>
      <w:sz w:val="16"/>
      <w:szCs w:val="16"/>
    </w:rPr>
  </w:style>
  <w:style w:type="character" w:customStyle="1" w:styleId="BalloonTextChar">
    <w:name w:val="Balloon Text Char"/>
    <w:basedOn w:val="DefaultParagraphFont"/>
    <w:link w:val="BalloonText"/>
    <w:uiPriority w:val="99"/>
    <w:semiHidden/>
    <w:rsid w:val="006978C4"/>
    <w:rPr>
      <w:rFonts w:ascii="Tahoma" w:hAnsi="Tahoma" w:cs="Tahoma"/>
      <w:sz w:val="16"/>
      <w:szCs w:val="16"/>
      <w:lang w:val="en-GB" w:eastAsia="en-US"/>
    </w:rPr>
  </w:style>
  <w:style w:type="table" w:customStyle="1" w:styleId="PlainTable41">
    <w:name w:val="Plain Table 41"/>
    <w:basedOn w:val="TableNormal"/>
    <w:uiPriority w:val="44"/>
    <w:rsid w:val="00C168B6"/>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B2EF3"/>
    <w:rPr>
      <w:color w:val="430098"/>
      <w:u w:val="single" w:color="430098"/>
    </w:rPr>
  </w:style>
  <w:style w:type="character" w:customStyle="1" w:styleId="Heading1Char">
    <w:name w:val="Heading 1 Char"/>
    <w:basedOn w:val="DefaultParagraphFont"/>
    <w:link w:val="Heading1"/>
    <w:uiPriority w:val="9"/>
    <w:rsid w:val="00C667D7"/>
    <w:rPr>
      <w:rFonts w:asciiTheme="majorHAnsi" w:eastAsiaTheme="majorEastAsia" w:hAnsiTheme="majorHAnsi" w:cstheme="majorBidi"/>
      <w:b/>
      <w:bCs/>
      <w:color w:val="365F91" w:themeColor="accent1" w:themeShade="BF"/>
      <w:sz w:val="28"/>
      <w:szCs w:val="28"/>
      <w:lang w:val="en-GB" w:eastAsia="en-US"/>
    </w:rPr>
  </w:style>
  <w:style w:type="paragraph" w:styleId="TOCHeading">
    <w:name w:val="TOC Heading"/>
    <w:basedOn w:val="Heading1"/>
    <w:next w:val="Normal"/>
    <w:uiPriority w:val="39"/>
    <w:unhideWhenUsed/>
    <w:qFormat/>
    <w:rsid w:val="00C667D7"/>
    <w:pPr>
      <w:spacing w:line="276" w:lineRule="auto"/>
      <w:outlineLvl w:val="9"/>
    </w:pPr>
    <w:rPr>
      <w:lang w:val="en-US" w:eastAsia="ja-JP"/>
    </w:rPr>
  </w:style>
  <w:style w:type="paragraph" w:styleId="TOC1">
    <w:name w:val="toc 1"/>
    <w:basedOn w:val="Normal"/>
    <w:next w:val="Normal"/>
    <w:autoRedefine/>
    <w:uiPriority w:val="39"/>
    <w:unhideWhenUsed/>
    <w:qFormat/>
    <w:rsid w:val="00BE2361"/>
    <w:pPr>
      <w:spacing w:after="100" w:line="288" w:lineRule="auto"/>
    </w:pPr>
    <w:rPr>
      <w:b/>
      <w:color w:val="55565A"/>
      <w:sz w:val="22"/>
    </w:rPr>
  </w:style>
  <w:style w:type="paragraph" w:styleId="TOC2">
    <w:name w:val="toc 2"/>
    <w:basedOn w:val="Normal"/>
    <w:next w:val="Normal"/>
    <w:autoRedefine/>
    <w:uiPriority w:val="39"/>
    <w:unhideWhenUsed/>
    <w:qFormat/>
    <w:rsid w:val="0043503F"/>
    <w:pPr>
      <w:tabs>
        <w:tab w:val="left" w:pos="426"/>
        <w:tab w:val="right" w:pos="9622"/>
      </w:tabs>
      <w:spacing w:after="100" w:line="288" w:lineRule="auto"/>
    </w:pPr>
    <w:rPr>
      <w:rFonts w:asciiTheme="minorHAnsi" w:eastAsiaTheme="minorEastAsia" w:hAnsiTheme="minorHAnsi" w:cstheme="minorBidi"/>
      <w:color w:val="55565A"/>
      <w:sz w:val="22"/>
      <w:szCs w:val="22"/>
      <w:lang w:val="en-US" w:eastAsia="ja-JP"/>
    </w:rPr>
  </w:style>
  <w:style w:type="paragraph" w:styleId="TOC3">
    <w:name w:val="toc 3"/>
    <w:basedOn w:val="Normal"/>
    <w:next w:val="Normal"/>
    <w:autoRedefine/>
    <w:uiPriority w:val="39"/>
    <w:semiHidden/>
    <w:unhideWhenUsed/>
    <w:qFormat/>
    <w:rsid w:val="00BE2361"/>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semiHidden/>
    <w:rsid w:val="00BE2361"/>
    <w:rPr>
      <w:rFonts w:asciiTheme="majorHAnsi" w:eastAsiaTheme="majorEastAsia" w:hAnsiTheme="majorHAnsi" w:cstheme="majorBidi"/>
      <w:b/>
      <w:bCs/>
      <w:color w:val="4F81BD" w:themeColor="accent1"/>
      <w:sz w:val="24"/>
      <w:szCs w:val="24"/>
      <w:lang w:val="en-GB" w:eastAsia="en-US"/>
    </w:rPr>
  </w:style>
  <w:style w:type="character" w:customStyle="1" w:styleId="Heading2Char">
    <w:name w:val="Heading 2 Char"/>
    <w:basedOn w:val="DefaultParagraphFont"/>
    <w:link w:val="Heading2"/>
    <w:uiPriority w:val="9"/>
    <w:semiHidden/>
    <w:rsid w:val="00BE2361"/>
    <w:rPr>
      <w:rFonts w:asciiTheme="majorHAnsi" w:eastAsiaTheme="majorEastAsia" w:hAnsiTheme="majorHAnsi" w:cstheme="majorBidi"/>
      <w:b/>
      <w:bCs/>
      <w:color w:val="4F81BD" w:themeColor="accent1"/>
      <w:sz w:val="26"/>
      <w:szCs w:val="26"/>
      <w:lang w:val="en-GB" w:eastAsia="en-US"/>
    </w:rPr>
  </w:style>
  <w:style w:type="paragraph" w:styleId="NormalWeb">
    <w:name w:val="Normal (Web)"/>
    <w:basedOn w:val="Normal"/>
    <w:uiPriority w:val="99"/>
    <w:semiHidden/>
    <w:unhideWhenUsed/>
    <w:rsid w:val="00053275"/>
    <w:pPr>
      <w:spacing w:before="100" w:beforeAutospacing="1" w:after="100" w:afterAutospacing="1"/>
    </w:pPr>
    <w:rPr>
      <w:rFonts w:ascii="Times New Roman" w:eastAsiaTheme="minorEastAsia" w:hAnsi="Times New Roman"/>
      <w:lang w:val="en-AU" w:eastAsia="en-AU"/>
    </w:rPr>
  </w:style>
  <w:style w:type="character" w:styleId="FollowedHyperlink">
    <w:name w:val="FollowedHyperlink"/>
    <w:basedOn w:val="DefaultParagraphFont"/>
    <w:uiPriority w:val="99"/>
    <w:semiHidden/>
    <w:unhideWhenUsed/>
    <w:rsid w:val="0053783E"/>
    <w:rPr>
      <w:color w:val="800080" w:themeColor="followedHyperlink"/>
      <w:u w:val="single"/>
    </w:rPr>
  </w:style>
  <w:style w:type="character" w:styleId="CommentReference">
    <w:name w:val="annotation reference"/>
    <w:basedOn w:val="DefaultParagraphFont"/>
    <w:uiPriority w:val="99"/>
    <w:semiHidden/>
    <w:unhideWhenUsed/>
    <w:rsid w:val="00A91F2D"/>
    <w:rPr>
      <w:sz w:val="16"/>
      <w:szCs w:val="16"/>
    </w:rPr>
  </w:style>
  <w:style w:type="paragraph" w:styleId="CommentText">
    <w:name w:val="annotation text"/>
    <w:basedOn w:val="Normal"/>
    <w:link w:val="CommentTextChar"/>
    <w:uiPriority w:val="99"/>
    <w:semiHidden/>
    <w:unhideWhenUsed/>
    <w:rsid w:val="00A91F2D"/>
    <w:rPr>
      <w:sz w:val="20"/>
      <w:szCs w:val="20"/>
    </w:rPr>
  </w:style>
  <w:style w:type="character" w:customStyle="1" w:styleId="CommentTextChar">
    <w:name w:val="Comment Text Char"/>
    <w:basedOn w:val="DefaultParagraphFont"/>
    <w:link w:val="CommentText"/>
    <w:uiPriority w:val="99"/>
    <w:semiHidden/>
    <w:rsid w:val="00A91F2D"/>
    <w:rPr>
      <w:lang w:val="en-GB" w:eastAsia="en-US"/>
    </w:rPr>
  </w:style>
  <w:style w:type="paragraph" w:styleId="CommentSubject">
    <w:name w:val="annotation subject"/>
    <w:basedOn w:val="CommentText"/>
    <w:next w:val="CommentText"/>
    <w:link w:val="CommentSubjectChar"/>
    <w:uiPriority w:val="99"/>
    <w:semiHidden/>
    <w:unhideWhenUsed/>
    <w:rsid w:val="00A91F2D"/>
    <w:rPr>
      <w:b/>
      <w:bCs/>
    </w:rPr>
  </w:style>
  <w:style w:type="character" w:customStyle="1" w:styleId="CommentSubjectChar">
    <w:name w:val="Comment Subject Char"/>
    <w:basedOn w:val="CommentTextChar"/>
    <w:link w:val="CommentSubject"/>
    <w:uiPriority w:val="99"/>
    <w:semiHidden/>
    <w:rsid w:val="00A91F2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C66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3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23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95638A"/>
    <w:pPr>
      <w:suppressAutoHyphens/>
      <w:spacing w:before="120" w:after="200"/>
    </w:pPr>
    <w:rPr>
      <w:rFonts w:ascii="Calibri" w:hAnsi="Calibri" w:cs="PostGrotesk-Book"/>
      <w:color w:val="55565A"/>
      <w:sz w:val="22"/>
      <w:szCs w:val="22"/>
    </w:rPr>
  </w:style>
  <w:style w:type="paragraph" w:customStyle="1" w:styleId="SectionHeading1">
    <w:name w:val="Section Heading 1"/>
    <w:basedOn w:val="BasicParagraph"/>
    <w:qFormat/>
    <w:rsid w:val="00C168B6"/>
    <w:pPr>
      <w:suppressAutoHyphens/>
      <w:spacing w:after="120"/>
    </w:pPr>
    <w:rPr>
      <w:rFonts w:ascii="Calibri" w:hAnsi="Calibri" w:cs="PostGrotesk-Medium"/>
      <w:color w:val="430098"/>
      <w:sz w:val="26"/>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FootnoteText">
    <w:name w:val="footnote text"/>
    <w:basedOn w:val="Normal"/>
    <w:link w:val="FootnoteTextChar"/>
    <w:uiPriority w:val="99"/>
    <w:semiHidden/>
    <w:unhideWhenUsed/>
    <w:rsid w:val="006978C4"/>
    <w:rPr>
      <w:sz w:val="20"/>
      <w:szCs w:val="20"/>
    </w:rPr>
  </w:style>
  <w:style w:type="character" w:customStyle="1" w:styleId="FootnoteTextChar">
    <w:name w:val="Footnote Text Char"/>
    <w:basedOn w:val="DefaultParagraphFont"/>
    <w:link w:val="FootnoteText"/>
    <w:uiPriority w:val="99"/>
    <w:semiHidden/>
    <w:rsid w:val="006978C4"/>
    <w:rPr>
      <w:lang w:val="en-GB" w:eastAsia="en-US"/>
    </w:rPr>
  </w:style>
  <w:style w:type="character" w:styleId="FootnoteReference">
    <w:name w:val="footnote reference"/>
    <w:basedOn w:val="DefaultParagraphFont"/>
    <w:uiPriority w:val="99"/>
    <w:unhideWhenUsed/>
    <w:rsid w:val="006978C4"/>
    <w:rPr>
      <w:vertAlign w:val="superscript"/>
    </w:rPr>
  </w:style>
  <w:style w:type="paragraph" w:styleId="BalloonText">
    <w:name w:val="Balloon Text"/>
    <w:basedOn w:val="Normal"/>
    <w:link w:val="BalloonTextChar"/>
    <w:uiPriority w:val="99"/>
    <w:semiHidden/>
    <w:unhideWhenUsed/>
    <w:rsid w:val="006978C4"/>
    <w:rPr>
      <w:rFonts w:ascii="Tahoma" w:hAnsi="Tahoma" w:cs="Tahoma"/>
      <w:sz w:val="16"/>
      <w:szCs w:val="16"/>
    </w:rPr>
  </w:style>
  <w:style w:type="character" w:customStyle="1" w:styleId="BalloonTextChar">
    <w:name w:val="Balloon Text Char"/>
    <w:basedOn w:val="DefaultParagraphFont"/>
    <w:link w:val="BalloonText"/>
    <w:uiPriority w:val="99"/>
    <w:semiHidden/>
    <w:rsid w:val="006978C4"/>
    <w:rPr>
      <w:rFonts w:ascii="Tahoma" w:hAnsi="Tahoma" w:cs="Tahoma"/>
      <w:sz w:val="16"/>
      <w:szCs w:val="16"/>
      <w:lang w:val="en-GB" w:eastAsia="en-US"/>
    </w:rPr>
  </w:style>
  <w:style w:type="table" w:customStyle="1" w:styleId="PlainTable41">
    <w:name w:val="Plain Table 41"/>
    <w:basedOn w:val="TableNormal"/>
    <w:uiPriority w:val="44"/>
    <w:rsid w:val="00C168B6"/>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B2EF3"/>
    <w:rPr>
      <w:color w:val="430098"/>
      <w:u w:val="single" w:color="430098"/>
    </w:rPr>
  </w:style>
  <w:style w:type="character" w:customStyle="1" w:styleId="Heading1Char">
    <w:name w:val="Heading 1 Char"/>
    <w:basedOn w:val="DefaultParagraphFont"/>
    <w:link w:val="Heading1"/>
    <w:uiPriority w:val="9"/>
    <w:rsid w:val="00C667D7"/>
    <w:rPr>
      <w:rFonts w:asciiTheme="majorHAnsi" w:eastAsiaTheme="majorEastAsia" w:hAnsiTheme="majorHAnsi" w:cstheme="majorBidi"/>
      <w:b/>
      <w:bCs/>
      <w:color w:val="365F91" w:themeColor="accent1" w:themeShade="BF"/>
      <w:sz w:val="28"/>
      <w:szCs w:val="28"/>
      <w:lang w:val="en-GB" w:eastAsia="en-US"/>
    </w:rPr>
  </w:style>
  <w:style w:type="paragraph" w:styleId="TOCHeading">
    <w:name w:val="TOC Heading"/>
    <w:basedOn w:val="Heading1"/>
    <w:next w:val="Normal"/>
    <w:uiPriority w:val="39"/>
    <w:unhideWhenUsed/>
    <w:qFormat/>
    <w:rsid w:val="00C667D7"/>
    <w:pPr>
      <w:spacing w:line="276" w:lineRule="auto"/>
      <w:outlineLvl w:val="9"/>
    </w:pPr>
    <w:rPr>
      <w:lang w:val="en-US" w:eastAsia="ja-JP"/>
    </w:rPr>
  </w:style>
  <w:style w:type="paragraph" w:styleId="TOC1">
    <w:name w:val="toc 1"/>
    <w:basedOn w:val="Normal"/>
    <w:next w:val="Normal"/>
    <w:autoRedefine/>
    <w:uiPriority w:val="39"/>
    <w:unhideWhenUsed/>
    <w:qFormat/>
    <w:rsid w:val="00BE2361"/>
    <w:pPr>
      <w:spacing w:after="100" w:line="288" w:lineRule="auto"/>
    </w:pPr>
    <w:rPr>
      <w:b/>
      <w:color w:val="55565A"/>
      <w:sz w:val="22"/>
    </w:rPr>
  </w:style>
  <w:style w:type="paragraph" w:styleId="TOC2">
    <w:name w:val="toc 2"/>
    <w:basedOn w:val="Normal"/>
    <w:next w:val="Normal"/>
    <w:autoRedefine/>
    <w:uiPriority w:val="39"/>
    <w:unhideWhenUsed/>
    <w:qFormat/>
    <w:rsid w:val="0043503F"/>
    <w:pPr>
      <w:tabs>
        <w:tab w:val="left" w:pos="426"/>
        <w:tab w:val="right" w:pos="9622"/>
      </w:tabs>
      <w:spacing w:after="100" w:line="288" w:lineRule="auto"/>
    </w:pPr>
    <w:rPr>
      <w:rFonts w:asciiTheme="minorHAnsi" w:eastAsiaTheme="minorEastAsia" w:hAnsiTheme="minorHAnsi" w:cstheme="minorBidi"/>
      <w:color w:val="55565A"/>
      <w:sz w:val="22"/>
      <w:szCs w:val="22"/>
      <w:lang w:val="en-US" w:eastAsia="ja-JP"/>
    </w:rPr>
  </w:style>
  <w:style w:type="paragraph" w:styleId="TOC3">
    <w:name w:val="toc 3"/>
    <w:basedOn w:val="Normal"/>
    <w:next w:val="Normal"/>
    <w:autoRedefine/>
    <w:uiPriority w:val="39"/>
    <w:semiHidden/>
    <w:unhideWhenUsed/>
    <w:qFormat/>
    <w:rsid w:val="00BE2361"/>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semiHidden/>
    <w:rsid w:val="00BE2361"/>
    <w:rPr>
      <w:rFonts w:asciiTheme="majorHAnsi" w:eastAsiaTheme="majorEastAsia" w:hAnsiTheme="majorHAnsi" w:cstheme="majorBidi"/>
      <w:b/>
      <w:bCs/>
      <w:color w:val="4F81BD" w:themeColor="accent1"/>
      <w:sz w:val="24"/>
      <w:szCs w:val="24"/>
      <w:lang w:val="en-GB" w:eastAsia="en-US"/>
    </w:rPr>
  </w:style>
  <w:style w:type="character" w:customStyle="1" w:styleId="Heading2Char">
    <w:name w:val="Heading 2 Char"/>
    <w:basedOn w:val="DefaultParagraphFont"/>
    <w:link w:val="Heading2"/>
    <w:uiPriority w:val="9"/>
    <w:semiHidden/>
    <w:rsid w:val="00BE2361"/>
    <w:rPr>
      <w:rFonts w:asciiTheme="majorHAnsi" w:eastAsiaTheme="majorEastAsia" w:hAnsiTheme="majorHAnsi" w:cstheme="majorBidi"/>
      <w:b/>
      <w:bCs/>
      <w:color w:val="4F81BD" w:themeColor="accent1"/>
      <w:sz w:val="26"/>
      <w:szCs w:val="26"/>
      <w:lang w:val="en-GB" w:eastAsia="en-US"/>
    </w:rPr>
  </w:style>
  <w:style w:type="paragraph" w:styleId="NormalWeb">
    <w:name w:val="Normal (Web)"/>
    <w:basedOn w:val="Normal"/>
    <w:uiPriority w:val="99"/>
    <w:semiHidden/>
    <w:unhideWhenUsed/>
    <w:rsid w:val="00053275"/>
    <w:pPr>
      <w:spacing w:before="100" w:beforeAutospacing="1" w:after="100" w:afterAutospacing="1"/>
    </w:pPr>
    <w:rPr>
      <w:rFonts w:ascii="Times New Roman" w:eastAsiaTheme="minorEastAsia" w:hAnsi="Times New Roman"/>
      <w:lang w:val="en-AU" w:eastAsia="en-AU"/>
    </w:rPr>
  </w:style>
  <w:style w:type="character" w:styleId="FollowedHyperlink">
    <w:name w:val="FollowedHyperlink"/>
    <w:basedOn w:val="DefaultParagraphFont"/>
    <w:uiPriority w:val="99"/>
    <w:semiHidden/>
    <w:unhideWhenUsed/>
    <w:rsid w:val="0053783E"/>
    <w:rPr>
      <w:color w:val="800080" w:themeColor="followedHyperlink"/>
      <w:u w:val="single"/>
    </w:rPr>
  </w:style>
  <w:style w:type="character" w:styleId="CommentReference">
    <w:name w:val="annotation reference"/>
    <w:basedOn w:val="DefaultParagraphFont"/>
    <w:uiPriority w:val="99"/>
    <w:semiHidden/>
    <w:unhideWhenUsed/>
    <w:rsid w:val="00A91F2D"/>
    <w:rPr>
      <w:sz w:val="16"/>
      <w:szCs w:val="16"/>
    </w:rPr>
  </w:style>
  <w:style w:type="paragraph" w:styleId="CommentText">
    <w:name w:val="annotation text"/>
    <w:basedOn w:val="Normal"/>
    <w:link w:val="CommentTextChar"/>
    <w:uiPriority w:val="99"/>
    <w:semiHidden/>
    <w:unhideWhenUsed/>
    <w:rsid w:val="00A91F2D"/>
    <w:rPr>
      <w:sz w:val="20"/>
      <w:szCs w:val="20"/>
    </w:rPr>
  </w:style>
  <w:style w:type="character" w:customStyle="1" w:styleId="CommentTextChar">
    <w:name w:val="Comment Text Char"/>
    <w:basedOn w:val="DefaultParagraphFont"/>
    <w:link w:val="CommentText"/>
    <w:uiPriority w:val="99"/>
    <w:semiHidden/>
    <w:rsid w:val="00A91F2D"/>
    <w:rPr>
      <w:lang w:val="en-GB" w:eastAsia="en-US"/>
    </w:rPr>
  </w:style>
  <w:style w:type="paragraph" w:styleId="CommentSubject">
    <w:name w:val="annotation subject"/>
    <w:basedOn w:val="CommentText"/>
    <w:next w:val="CommentText"/>
    <w:link w:val="CommentSubjectChar"/>
    <w:uiPriority w:val="99"/>
    <w:semiHidden/>
    <w:unhideWhenUsed/>
    <w:rsid w:val="00A91F2D"/>
    <w:rPr>
      <w:b/>
      <w:bCs/>
    </w:rPr>
  </w:style>
  <w:style w:type="character" w:customStyle="1" w:styleId="CommentSubjectChar">
    <w:name w:val="Comment Subject Char"/>
    <w:basedOn w:val="CommentTextChar"/>
    <w:link w:val="CommentSubject"/>
    <w:uiPriority w:val="99"/>
    <w:semiHidden/>
    <w:rsid w:val="00A91F2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vic.gov.au/familyviolence/family-safety-victoria/information-sharing-and-risk-managemen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ic.gov.au/familyviolence/family-safety-victoria.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hcc.vic.gov.au/training-events/trai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vic.vic.gov.au/" TargetMode="External"/><Relationship Id="rId20" Type="http://schemas.openxmlformats.org/officeDocument/2006/relationships/hyperlink" Target="https://www.oaic.gov.au/individuals/how-do-i-make-a-privacy-compla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vic.gov.au/system/user_files/Documents/fv/Ministerial%20Guidelines%20-%20Family%20Violence%20Information%20Sharing%20Scheme.pdf"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vic.gov.au/familyviolence/family-safety-victoria.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vic.vi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ic.gov.au/familyviolence/family-safety-victoria.html" TargetMode="External"/><Relationship Id="rId1" Type="http://schemas.openxmlformats.org/officeDocument/2006/relationships/hyperlink" Target="https://ovic.vic.gov.a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75A2-778F-40CC-9C1E-E05C641D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5314</Words>
  <Characters>30291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Bertram</dc:creator>
  <cp:lastModifiedBy>Michael Quin</cp:lastModifiedBy>
  <cp:revision>2</cp:revision>
  <cp:lastPrinted>2017-12-19T01:45:00Z</cp:lastPrinted>
  <dcterms:created xsi:type="dcterms:W3CDTF">2018-02-28T00:39:00Z</dcterms:created>
  <dcterms:modified xsi:type="dcterms:W3CDTF">2018-02-28T00:39:00Z</dcterms:modified>
</cp:coreProperties>
</file>